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17FA" w14:textId="3E4A8F2F" w:rsidR="00227D59" w:rsidRPr="00227D59" w:rsidRDefault="00227D59" w:rsidP="00227D59">
      <w:pPr>
        <w:jc w:val="center"/>
        <w:rPr>
          <w:b/>
          <w:sz w:val="28"/>
        </w:rPr>
      </w:pPr>
      <w:r w:rsidRPr="00227D59">
        <w:rPr>
          <w:b/>
          <w:sz w:val="28"/>
        </w:rPr>
        <w:t>Qualified Entity Service Availability Disclosure</w:t>
      </w:r>
    </w:p>
    <w:p w14:paraId="3C82EED5" w14:textId="77777777" w:rsidR="00227D59" w:rsidRDefault="00227D59"/>
    <w:p w14:paraId="0954DF6C" w14:textId="50674C17" w:rsidR="003D75E7" w:rsidRDefault="00276C43">
      <w:r>
        <w:t>Qualified Entity Name:</w:t>
      </w:r>
      <w:r w:rsidR="003760C6">
        <w:t xml:space="preserve"> </w:t>
      </w:r>
      <w:r w:rsidR="00DD4739">
        <w:t>Bronx RHIO</w:t>
      </w:r>
    </w:p>
    <w:p w14:paraId="734BB5DB" w14:textId="3961794C" w:rsidR="00276C43" w:rsidRDefault="00276C43">
      <w:r>
        <w:t>Geography Serviced:</w:t>
      </w:r>
      <w:r w:rsidR="003760C6">
        <w:t xml:space="preserve"> </w:t>
      </w:r>
      <w:r w:rsidR="005B7BF4">
        <w:t xml:space="preserve">Greater </w:t>
      </w:r>
      <w:r w:rsidR="00DD4739">
        <w:t>New York City including Bronx and Neighboring Counties</w:t>
      </w:r>
    </w:p>
    <w:p w14:paraId="6D850B14" w14:textId="2BFC9CEA" w:rsidR="00276C43" w:rsidRDefault="00AB129C">
      <w:r>
        <w:t xml:space="preserve">Effective </w:t>
      </w:r>
      <w:r w:rsidR="0061243A">
        <w:t>Date</w:t>
      </w:r>
      <w:r w:rsidR="00890F24">
        <w:t xml:space="preserve"> of this Disclosure</w:t>
      </w:r>
      <w:r w:rsidR="003760C6">
        <w:t xml:space="preserve">: </w:t>
      </w:r>
      <w:r w:rsidR="00794EDA">
        <w:t>January 15</w:t>
      </w:r>
      <w:r w:rsidR="00DD4739">
        <w:t>, 20</w:t>
      </w:r>
      <w:r w:rsidR="00B61D72">
        <w:t>2</w:t>
      </w:r>
      <w:r w:rsidR="00D1183E">
        <w:t>6</w:t>
      </w:r>
    </w:p>
    <w:p w14:paraId="113655A6" w14:textId="77777777" w:rsidR="003760C6" w:rsidRDefault="003760C6"/>
    <w:p w14:paraId="3A8D3652" w14:textId="36A11434" w:rsidR="00276C43" w:rsidRDefault="00272828">
      <w:r>
        <w:t>The Qualified Entity (QE) listed above receives</w:t>
      </w:r>
      <w:r w:rsidR="00227D59">
        <w:t xml:space="preserve"> public</w:t>
      </w:r>
      <w:r>
        <w:t xml:space="preserve"> funding from New York State to provide a </w:t>
      </w:r>
      <w:r w:rsidR="0061243A">
        <w:t xml:space="preserve">variety </w:t>
      </w:r>
      <w:r>
        <w:t xml:space="preserve">of </w:t>
      </w:r>
      <w:r w:rsidR="0061243A">
        <w:t xml:space="preserve">technology </w:t>
      </w:r>
      <w:r>
        <w:t>services to its members</w:t>
      </w:r>
      <w:r w:rsidR="00E751A5">
        <w:t xml:space="preserve"> as part of the Statewide Health Information Network of New York (SHIN-NY)</w:t>
      </w:r>
      <w:r>
        <w:t xml:space="preserve">. QEs </w:t>
      </w:r>
      <w:r w:rsidR="0061243A">
        <w:t>must use these funds to provide</w:t>
      </w:r>
      <w:r>
        <w:t xml:space="preserve"> a minimum set of services (“dial tone” </w:t>
      </w:r>
      <w:r w:rsidR="00373E17">
        <w:t xml:space="preserve">or core </w:t>
      </w:r>
      <w:r>
        <w:t>services</w:t>
      </w:r>
      <w:r w:rsidR="00E14E51">
        <w:t xml:space="preserve"> and member facing services</w:t>
      </w:r>
      <w:r>
        <w:t>)</w:t>
      </w:r>
      <w:r w:rsidR="003760C6">
        <w:t xml:space="preserve"> to </w:t>
      </w:r>
      <w:r w:rsidR="004F56DD">
        <w:t xml:space="preserve">their </w:t>
      </w:r>
      <w:r w:rsidR="003760C6">
        <w:t xml:space="preserve">members </w:t>
      </w:r>
      <w:r w:rsidR="00E14E51">
        <w:t>at no charge</w:t>
      </w:r>
      <w:r w:rsidR="0061243A">
        <w:t xml:space="preserve">.  </w:t>
      </w:r>
      <w:r w:rsidR="00713904">
        <w:t xml:space="preserve"> QE</w:t>
      </w:r>
      <w:r w:rsidR="004F56DD">
        <w:t>s</w:t>
      </w:r>
      <w:r w:rsidR="00713904">
        <w:t xml:space="preserve"> </w:t>
      </w:r>
      <w:r w:rsidR="004F56DD">
        <w:t>are</w:t>
      </w:r>
      <w:r w:rsidR="00713904">
        <w:t xml:space="preserve"> permitted to offer additional servi</w:t>
      </w:r>
      <w:r w:rsidR="003760C6">
        <w:t xml:space="preserve">ces as </w:t>
      </w:r>
      <w:r w:rsidR="004F56DD">
        <w:t>“</w:t>
      </w:r>
      <w:r w:rsidR="003760C6">
        <w:t>value added</w:t>
      </w:r>
      <w:r w:rsidR="004F56DD">
        <w:t>”</w:t>
      </w:r>
      <w:r w:rsidR="003760C6">
        <w:t xml:space="preserve"> services</w:t>
      </w:r>
      <w:r w:rsidR="00713904">
        <w:t xml:space="preserve"> to </w:t>
      </w:r>
      <w:r w:rsidR="004F56DD">
        <w:t xml:space="preserve">their </w:t>
      </w:r>
      <w:r w:rsidR="00713904">
        <w:t>member</w:t>
      </w:r>
      <w:r w:rsidR="004F56DD">
        <w:t>s</w:t>
      </w:r>
      <w:r w:rsidR="003760C6">
        <w:t xml:space="preserve"> for which </w:t>
      </w:r>
      <w:r w:rsidR="004F56DD">
        <w:t xml:space="preserve">they </w:t>
      </w:r>
      <w:r w:rsidR="003760C6">
        <w:t>may collect a fee</w:t>
      </w:r>
      <w:r w:rsidR="00713904">
        <w:t xml:space="preserve">.  </w:t>
      </w:r>
      <w:r>
        <w:t>This document provide</w:t>
      </w:r>
      <w:r w:rsidR="004F56DD">
        <w:t>s</w:t>
      </w:r>
      <w:r>
        <w:t xml:space="preserve"> a sum</w:t>
      </w:r>
      <w:r w:rsidR="0061243A">
        <w:t>mary of available services as of the date listed above</w:t>
      </w:r>
      <w:r w:rsidR="00344653">
        <w:t>.</w:t>
      </w:r>
      <w:r w:rsidR="00227D59">
        <w:t xml:space="preserve">  New York State QEs </w:t>
      </w:r>
      <w:r w:rsidR="00E14E51">
        <w:t xml:space="preserve">are required to </w:t>
      </w:r>
      <w:r w:rsidR="00227D59">
        <w:t xml:space="preserve">provide this disclosure to prospective </w:t>
      </w:r>
      <w:r w:rsidR="00E14E51">
        <w:t xml:space="preserve">QE participants </w:t>
      </w:r>
      <w:r w:rsidR="00227D59">
        <w:t xml:space="preserve">and upon request at any time.  Up to date disclosure forms are posted here: </w:t>
      </w:r>
      <w:r w:rsidR="00B96FD3">
        <w:t xml:space="preserve"> </w:t>
      </w:r>
      <w:hyperlink r:id="rId9" w:history="1">
        <w:r w:rsidR="002F25DC">
          <w:rPr>
            <w:rStyle w:val="Hyperlink"/>
          </w:rPr>
          <w:t>https://bronxrhio.o</w:t>
        </w:r>
        <w:r w:rsidR="002F25DC">
          <w:rPr>
            <w:rStyle w:val="Hyperlink"/>
          </w:rPr>
          <w:t>r</w:t>
        </w:r>
        <w:r w:rsidR="002F25DC">
          <w:rPr>
            <w:rStyle w:val="Hyperlink"/>
          </w:rPr>
          <w:t>g/</w:t>
        </w:r>
      </w:hyperlink>
    </w:p>
    <w:p w14:paraId="7A10C66D" w14:textId="77777777" w:rsidR="00227D59" w:rsidRDefault="00227D59"/>
    <w:p w14:paraId="4E07B01B" w14:textId="77777777" w:rsidR="00227D59" w:rsidRDefault="00227D59">
      <w:r>
        <w:t>Description of Disclosure Table Headings:</w:t>
      </w:r>
    </w:p>
    <w:p w14:paraId="7F4116DF" w14:textId="6FFC4FD4" w:rsidR="002141CA" w:rsidRDefault="002141CA" w:rsidP="002141CA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Service: </w:t>
      </w:r>
      <w:r w:rsidR="003760C6">
        <w:t>Name of the service offered</w:t>
      </w:r>
    </w:p>
    <w:p w14:paraId="38C7D89A" w14:textId="67C0D0AF" w:rsidR="002141CA" w:rsidRDefault="003760C6" w:rsidP="00373E17">
      <w:pPr>
        <w:pStyle w:val="ListParagraph"/>
        <w:numPr>
          <w:ilvl w:val="0"/>
          <w:numId w:val="2"/>
        </w:numPr>
        <w:spacing w:after="0" w:line="240" w:lineRule="auto"/>
      </w:pPr>
      <w:r>
        <w:t>Description: A description of the</w:t>
      </w:r>
      <w:r w:rsidR="002141CA">
        <w:t xml:space="preserve"> </w:t>
      </w:r>
      <w:r>
        <w:t xml:space="preserve">named </w:t>
      </w:r>
      <w:r w:rsidR="002141CA">
        <w:t xml:space="preserve">service.  Further </w:t>
      </w:r>
      <w:proofErr w:type="gramStart"/>
      <w:r w:rsidR="002141CA">
        <w:t>detail is</w:t>
      </w:r>
      <w:proofErr w:type="gramEnd"/>
      <w:r w:rsidR="002141CA">
        <w:t xml:space="preserve"> available fr</w:t>
      </w:r>
      <w:r w:rsidR="00E751A5">
        <w:t xml:space="preserve">om the QE.  </w:t>
      </w:r>
      <w:r w:rsidR="00890F24">
        <w:t xml:space="preserve">A more detailed </w:t>
      </w:r>
      <w:r w:rsidR="00373E17">
        <w:t xml:space="preserve">description of </w:t>
      </w:r>
      <w:r w:rsidR="00890F24">
        <w:t xml:space="preserve">dial tone </w:t>
      </w:r>
      <w:r w:rsidR="00373E17">
        <w:t xml:space="preserve">or core </w:t>
      </w:r>
      <w:r w:rsidR="00890F24">
        <w:t xml:space="preserve">services can be accessed here: </w:t>
      </w:r>
      <w:hyperlink r:id="rId10" w:history="1">
        <w:r w:rsidR="00794EDA">
          <w:rPr>
            <w:rStyle w:val="Hyperlink"/>
          </w:rPr>
          <w:t>https://www.nyehealth.org/shin-ny/</w:t>
        </w:r>
        <w:r w:rsidR="00794EDA">
          <w:rPr>
            <w:rStyle w:val="Hyperlink"/>
          </w:rPr>
          <w:t>w</w:t>
        </w:r>
        <w:r w:rsidR="00794EDA">
          <w:rPr>
            <w:rStyle w:val="Hyperlink"/>
          </w:rPr>
          <w:t>hat-is-the-shin-ny/</w:t>
        </w:r>
      </w:hyperlink>
    </w:p>
    <w:p w14:paraId="0993CA46" w14:textId="24F9FEB9" w:rsidR="00276C43" w:rsidRDefault="002141CA" w:rsidP="002141CA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Service Availability: Status of </w:t>
      </w:r>
      <w:proofErr w:type="gramStart"/>
      <w:r>
        <w:t>the capability</w:t>
      </w:r>
      <w:proofErr w:type="gramEnd"/>
      <w:r>
        <w:t xml:space="preserve">.  There are 3 </w:t>
      </w:r>
      <w:r w:rsidR="00713904">
        <w:t>possible responses in this column</w:t>
      </w:r>
    </w:p>
    <w:p w14:paraId="3B1A3587" w14:textId="0CB20E45" w:rsidR="002141CA" w:rsidRDefault="00713904" w:rsidP="002141CA">
      <w:pPr>
        <w:pStyle w:val="ListParagraph"/>
        <w:numPr>
          <w:ilvl w:val="1"/>
          <w:numId w:val="2"/>
        </w:numPr>
        <w:spacing w:after="0" w:line="240" w:lineRule="auto"/>
      </w:pPr>
      <w:r>
        <w:t>Available</w:t>
      </w:r>
      <w:r w:rsidR="002141CA">
        <w:t xml:space="preserve"> = </w:t>
      </w:r>
      <w:r>
        <w:t>Indicates the Service is Available for all Members</w:t>
      </w:r>
    </w:p>
    <w:p w14:paraId="266D43E7" w14:textId="1260A53E" w:rsidR="002141CA" w:rsidRDefault="002141CA" w:rsidP="002141CA">
      <w:pPr>
        <w:pStyle w:val="ListParagraph"/>
        <w:numPr>
          <w:ilvl w:val="1"/>
          <w:numId w:val="2"/>
        </w:numPr>
        <w:spacing w:after="0" w:line="240" w:lineRule="auto"/>
      </w:pPr>
      <w:r>
        <w:t>P</w:t>
      </w:r>
      <w:r w:rsidR="00344653">
        <w:t>artial:</w:t>
      </w:r>
      <w:r w:rsidR="009E1A03">
        <w:t xml:space="preserve"> </w:t>
      </w:r>
      <w:r w:rsidR="00344653">
        <w:t>Date</w:t>
      </w:r>
      <w:r>
        <w:t xml:space="preserve"> = The service is partially available. The date is the estimated date for full availability</w:t>
      </w:r>
      <w:r w:rsidR="00713904">
        <w:t>.  Additional notes on partial availability may be included at the end of the table</w:t>
      </w:r>
    </w:p>
    <w:p w14:paraId="70038402" w14:textId="24FEF228" w:rsidR="002141CA" w:rsidRDefault="002141CA" w:rsidP="002141CA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Date Only = Service is </w:t>
      </w:r>
      <w:r w:rsidR="00AB129C">
        <w:t xml:space="preserve">currently </w:t>
      </w:r>
      <w:r>
        <w:t>u</w:t>
      </w:r>
      <w:r w:rsidR="00344653">
        <w:t>navailable and projected to be available on the data specified</w:t>
      </w:r>
    </w:p>
    <w:p w14:paraId="65605623" w14:textId="265CF1B1" w:rsidR="002B42F8" w:rsidRDefault="002B42F8" w:rsidP="002B42F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Service Cost: Fee charged for the </w:t>
      </w:r>
      <w:proofErr w:type="gramStart"/>
      <w:r>
        <w:t>described service</w:t>
      </w:r>
      <w:proofErr w:type="gramEnd"/>
      <w:r>
        <w:t xml:space="preserve">.  QE may bundle services together </w:t>
      </w:r>
      <w:proofErr w:type="gramStart"/>
      <w:r>
        <w:t>into</w:t>
      </w:r>
      <w:proofErr w:type="gramEnd"/>
      <w:r>
        <w:t xml:space="preserve"> a single fee and </w:t>
      </w:r>
      <w:r w:rsidR="00713904">
        <w:t xml:space="preserve">will </w:t>
      </w:r>
      <w:r>
        <w:t xml:space="preserve">describe this in the notes </w:t>
      </w:r>
      <w:proofErr w:type="gramStart"/>
      <w:r>
        <w:t>to</w:t>
      </w:r>
      <w:proofErr w:type="gramEnd"/>
      <w:r>
        <w:t xml:space="preserve"> this disclosure.  QE </w:t>
      </w:r>
      <w:r w:rsidR="00654E52">
        <w:t xml:space="preserve">should </w:t>
      </w:r>
      <w:r>
        <w:t>document the frequency of the fee (</w:t>
      </w:r>
      <w:r w:rsidR="00654E52">
        <w:t xml:space="preserve">one-time, </w:t>
      </w:r>
      <w:r>
        <w:t xml:space="preserve">monthly, </w:t>
      </w:r>
      <w:r w:rsidR="00713904">
        <w:t>quarterly</w:t>
      </w:r>
      <w:r>
        <w:t>, annual, etc</w:t>
      </w:r>
      <w:r w:rsidR="00F11A07">
        <w:t>.</w:t>
      </w:r>
      <w:r>
        <w:t>)</w:t>
      </w:r>
    </w:p>
    <w:p w14:paraId="4C415CB0" w14:textId="105BCCF6" w:rsidR="00227D59" w:rsidRDefault="00344653" w:rsidP="00344653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Cost to Configure / Reconfigure: </w:t>
      </w:r>
      <w:r w:rsidR="005340B4">
        <w:t xml:space="preserve">Both the initial configuration and any fees for reconfiguration in the future.   </w:t>
      </w:r>
      <w:r>
        <w:t xml:space="preserve">The first figure is </w:t>
      </w:r>
      <w:r w:rsidR="005340B4">
        <w:t xml:space="preserve">the </w:t>
      </w:r>
      <w:r>
        <w:t xml:space="preserve">initial upfront </w:t>
      </w:r>
      <w:r w:rsidR="005340B4">
        <w:t xml:space="preserve">cost </w:t>
      </w:r>
      <w:r>
        <w:t xml:space="preserve">to enable the service and the second is any fee for reconfiguration in the future.  If there is no fee for one or the other, this </w:t>
      </w:r>
      <w:r w:rsidR="00654E52">
        <w:t xml:space="preserve">should </w:t>
      </w:r>
      <w:r>
        <w:t xml:space="preserve">state $0 / $0.  </w:t>
      </w:r>
      <w:r w:rsidR="00654E52">
        <w:t>T</w:t>
      </w:r>
      <w:r w:rsidR="00C86AA3">
        <w:t xml:space="preserve">he referenced notes </w:t>
      </w:r>
      <w:r w:rsidR="00654E52">
        <w:t xml:space="preserve">(if any) </w:t>
      </w:r>
      <w:r w:rsidR="00C86AA3">
        <w:t xml:space="preserve">at the end of the disclosure describe what </w:t>
      </w:r>
      <w:r w:rsidR="005340B4">
        <w:t xml:space="preserve">circumstances would necessitate a </w:t>
      </w:r>
      <w:r w:rsidR="00C86AA3">
        <w:t>reconfiguration fee.</w:t>
      </w:r>
    </w:p>
    <w:p w14:paraId="74CF56F2" w14:textId="77777777" w:rsidR="00227D59" w:rsidRDefault="00227D5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457"/>
        <w:gridCol w:w="2094"/>
        <w:gridCol w:w="2265"/>
        <w:gridCol w:w="1064"/>
        <w:gridCol w:w="1482"/>
      </w:tblGrid>
      <w:tr w:rsidR="00654E52" w14:paraId="33A03AAA" w14:textId="77777777" w:rsidTr="00AE5014">
        <w:trPr>
          <w:tblHeader/>
        </w:trPr>
        <w:tc>
          <w:tcPr>
            <w:tcW w:w="988" w:type="dxa"/>
            <w:shd w:val="clear" w:color="auto" w:fill="000000" w:themeFill="text1"/>
          </w:tcPr>
          <w:p w14:paraId="2B04A6FA" w14:textId="77777777" w:rsidR="003760C6" w:rsidRDefault="003760C6"/>
        </w:tc>
        <w:tc>
          <w:tcPr>
            <w:tcW w:w="1457" w:type="dxa"/>
            <w:shd w:val="clear" w:color="auto" w:fill="000000" w:themeFill="text1"/>
          </w:tcPr>
          <w:p w14:paraId="32AE176B" w14:textId="7F5640E6" w:rsidR="003760C6" w:rsidRDefault="003760C6">
            <w:r>
              <w:t>Service</w:t>
            </w:r>
          </w:p>
        </w:tc>
        <w:tc>
          <w:tcPr>
            <w:tcW w:w="2094" w:type="dxa"/>
            <w:shd w:val="clear" w:color="auto" w:fill="000000" w:themeFill="text1"/>
          </w:tcPr>
          <w:p w14:paraId="02DB4EBD" w14:textId="2598BA02" w:rsidR="003760C6" w:rsidRDefault="003760C6">
            <w:r>
              <w:t>Description</w:t>
            </w:r>
          </w:p>
        </w:tc>
        <w:tc>
          <w:tcPr>
            <w:tcW w:w="2265" w:type="dxa"/>
            <w:shd w:val="clear" w:color="auto" w:fill="000000" w:themeFill="text1"/>
          </w:tcPr>
          <w:p w14:paraId="01E42CFB" w14:textId="77777777" w:rsidR="003760C6" w:rsidRDefault="003760C6" w:rsidP="002141CA">
            <w:r>
              <w:t>Service Availability</w:t>
            </w:r>
          </w:p>
          <w:p w14:paraId="1E37B37D" w14:textId="77777777" w:rsidR="003760C6" w:rsidRDefault="003760C6" w:rsidP="00B52C3C"/>
        </w:tc>
        <w:tc>
          <w:tcPr>
            <w:tcW w:w="1064" w:type="dxa"/>
            <w:shd w:val="clear" w:color="auto" w:fill="000000" w:themeFill="text1"/>
          </w:tcPr>
          <w:p w14:paraId="0BA0E247" w14:textId="77777777" w:rsidR="003760C6" w:rsidRDefault="003760C6" w:rsidP="00276C43">
            <w:r>
              <w:t>Service Cost</w:t>
            </w:r>
          </w:p>
        </w:tc>
        <w:tc>
          <w:tcPr>
            <w:tcW w:w="1482" w:type="dxa"/>
            <w:shd w:val="clear" w:color="auto" w:fill="000000" w:themeFill="text1"/>
          </w:tcPr>
          <w:p w14:paraId="5FCCF82B" w14:textId="77777777" w:rsidR="003760C6" w:rsidRDefault="003760C6" w:rsidP="00276C43">
            <w:r>
              <w:t xml:space="preserve">Cost to </w:t>
            </w:r>
            <w:proofErr w:type="gramStart"/>
            <w:r>
              <w:t>Configure  /</w:t>
            </w:r>
            <w:proofErr w:type="gramEnd"/>
            <w:r>
              <w:t xml:space="preserve"> Reconfigure</w:t>
            </w:r>
          </w:p>
        </w:tc>
      </w:tr>
      <w:tr w:rsidR="00227D59" w14:paraId="555515E0" w14:textId="77777777" w:rsidTr="00AE5014">
        <w:trPr>
          <w:cantSplit/>
          <w:trHeight w:val="1134"/>
        </w:trPr>
        <w:tc>
          <w:tcPr>
            <w:tcW w:w="988" w:type="dxa"/>
            <w:vMerge w:val="restart"/>
            <w:textDirection w:val="btLr"/>
            <w:vAlign w:val="center"/>
          </w:tcPr>
          <w:p w14:paraId="64F2FF71" w14:textId="4CA038C5" w:rsidR="00227D59" w:rsidRDefault="00227D59" w:rsidP="00227D59">
            <w:pPr>
              <w:ind w:left="113" w:right="113"/>
              <w:jc w:val="center"/>
            </w:pPr>
            <w:r>
              <w:t>Dial Tone</w:t>
            </w:r>
            <w:r w:rsidR="00373E17">
              <w:t>/Core</w:t>
            </w:r>
            <w:r>
              <w:t xml:space="preserve"> Services</w:t>
            </w:r>
          </w:p>
        </w:tc>
        <w:tc>
          <w:tcPr>
            <w:tcW w:w="1457" w:type="dxa"/>
            <w:vAlign w:val="center"/>
          </w:tcPr>
          <w:p w14:paraId="63E3E3EE" w14:textId="51247783" w:rsidR="00227D59" w:rsidRDefault="00227D59" w:rsidP="003760C6">
            <w:r>
              <w:t>Patient Record Lookup</w:t>
            </w:r>
            <w:r w:rsidR="00890F24">
              <w:t xml:space="preserve"> (Community Level – </w:t>
            </w:r>
            <w:r w:rsidR="000751DF">
              <w:t xml:space="preserve">within a </w:t>
            </w:r>
            <w:r w:rsidR="00890F24">
              <w:t>Single QE)</w:t>
            </w:r>
          </w:p>
        </w:tc>
        <w:tc>
          <w:tcPr>
            <w:tcW w:w="2094" w:type="dxa"/>
            <w:vAlign w:val="center"/>
          </w:tcPr>
          <w:p w14:paraId="0351616D" w14:textId="7DCEF269" w:rsidR="00227D59" w:rsidRDefault="00227D59" w:rsidP="00654E52">
            <w:r>
              <w:t xml:space="preserve">The ability to search for a patient’s prior clinical records contained within the QE </w:t>
            </w:r>
            <w:r w:rsidR="000751DF">
              <w:t xml:space="preserve">via </w:t>
            </w:r>
            <w:r>
              <w:t>a web-based viewer or from within a 3</w:t>
            </w:r>
            <w:r w:rsidRPr="00163605">
              <w:rPr>
                <w:vertAlign w:val="superscript"/>
              </w:rPr>
              <w:t>rd</w:t>
            </w:r>
            <w:r>
              <w:t xml:space="preserve"> party application (e.g. an EHR)</w:t>
            </w:r>
          </w:p>
        </w:tc>
        <w:tc>
          <w:tcPr>
            <w:tcW w:w="2265" w:type="dxa"/>
            <w:vAlign w:val="center"/>
          </w:tcPr>
          <w:p w14:paraId="5F0C719D" w14:textId="1DD3A464" w:rsidR="00227D59" w:rsidRDefault="00AE5014" w:rsidP="003760C6">
            <w:r>
              <w:t>Available</w:t>
            </w:r>
          </w:p>
        </w:tc>
        <w:tc>
          <w:tcPr>
            <w:tcW w:w="1064" w:type="dxa"/>
            <w:vAlign w:val="center"/>
          </w:tcPr>
          <w:p w14:paraId="529BB315" w14:textId="56A9B54D" w:rsidR="00227D59" w:rsidRDefault="00227D59" w:rsidP="003760C6">
            <w:r>
              <w:t>$</w:t>
            </w:r>
            <w:r w:rsidR="00890F24">
              <w:t>0</w:t>
            </w:r>
          </w:p>
        </w:tc>
        <w:tc>
          <w:tcPr>
            <w:tcW w:w="1482" w:type="dxa"/>
            <w:vAlign w:val="center"/>
          </w:tcPr>
          <w:p w14:paraId="771AF59E" w14:textId="5B565BC8" w:rsidR="00227D59" w:rsidRDefault="005340B4" w:rsidP="003760C6">
            <w:r>
              <w:t xml:space="preserve">Initial: </w:t>
            </w:r>
            <w:r w:rsidR="00B96FD3">
              <w:t>$0</w:t>
            </w:r>
          </w:p>
          <w:p w14:paraId="604D999F" w14:textId="77777777" w:rsidR="005340B4" w:rsidRDefault="005340B4" w:rsidP="003760C6"/>
          <w:p w14:paraId="1C0B3FE8" w14:textId="77777777" w:rsidR="005340B4" w:rsidRDefault="005340B4" w:rsidP="003760C6">
            <w:r>
              <w:t>Reconfigure:</w:t>
            </w:r>
          </w:p>
          <w:p w14:paraId="76AFBA77" w14:textId="1B0BDE20" w:rsidR="005340B4" w:rsidRDefault="00B96FD3" w:rsidP="00B96FD3">
            <w:r>
              <w:t>$0</w:t>
            </w:r>
          </w:p>
        </w:tc>
      </w:tr>
      <w:tr w:rsidR="00890F24" w14:paraId="67C98D7B" w14:textId="77777777" w:rsidTr="00AE5014">
        <w:trPr>
          <w:cantSplit/>
          <w:trHeight w:val="1134"/>
        </w:trPr>
        <w:tc>
          <w:tcPr>
            <w:tcW w:w="988" w:type="dxa"/>
            <w:vMerge/>
            <w:textDirection w:val="btLr"/>
            <w:vAlign w:val="center"/>
          </w:tcPr>
          <w:p w14:paraId="764D4E38" w14:textId="769F6445" w:rsidR="00890F24" w:rsidRDefault="00890F24" w:rsidP="00227D59">
            <w:pPr>
              <w:ind w:left="113" w:right="113"/>
              <w:jc w:val="center"/>
            </w:pPr>
          </w:p>
        </w:tc>
        <w:tc>
          <w:tcPr>
            <w:tcW w:w="1457" w:type="dxa"/>
            <w:vAlign w:val="center"/>
          </w:tcPr>
          <w:p w14:paraId="0EBEAC3D" w14:textId="14AA7ADD" w:rsidR="00890F24" w:rsidRDefault="00890F24" w:rsidP="003760C6">
            <w:r>
              <w:t>Patient Record Lookup (Statewide – all QEs)</w:t>
            </w:r>
          </w:p>
        </w:tc>
        <w:tc>
          <w:tcPr>
            <w:tcW w:w="2094" w:type="dxa"/>
            <w:vAlign w:val="center"/>
          </w:tcPr>
          <w:p w14:paraId="43E2573C" w14:textId="5E4D3472" w:rsidR="00890F24" w:rsidRDefault="00890F24" w:rsidP="00654E52">
            <w:r>
              <w:t xml:space="preserve">The ability to search for a patient’s prior clinical records contained </w:t>
            </w:r>
            <w:r w:rsidR="000751DF">
              <w:t xml:space="preserve">throughout </w:t>
            </w:r>
            <w:proofErr w:type="gramStart"/>
            <w:r w:rsidR="000751DF">
              <w:t xml:space="preserve">the </w:t>
            </w:r>
            <w:r>
              <w:t>SHIN</w:t>
            </w:r>
            <w:proofErr w:type="gramEnd"/>
            <w:r>
              <w:t xml:space="preserve">-NY </w:t>
            </w:r>
            <w:r w:rsidR="000751DF">
              <w:t xml:space="preserve">and all of New York State’s </w:t>
            </w:r>
            <w:r>
              <w:t>connected QE</w:t>
            </w:r>
            <w:r w:rsidR="000751DF">
              <w:t>s</w:t>
            </w:r>
            <w:r>
              <w:t xml:space="preserve"> </w:t>
            </w:r>
            <w:r w:rsidR="000751DF">
              <w:t>via</w:t>
            </w:r>
            <w:r>
              <w:t xml:space="preserve"> a web-based viewer or from within a 3</w:t>
            </w:r>
            <w:r w:rsidRPr="00163605">
              <w:rPr>
                <w:vertAlign w:val="superscript"/>
              </w:rPr>
              <w:t>rd</w:t>
            </w:r>
            <w:r>
              <w:t xml:space="preserve"> party application (e.g. an EHR)</w:t>
            </w:r>
          </w:p>
        </w:tc>
        <w:tc>
          <w:tcPr>
            <w:tcW w:w="2265" w:type="dxa"/>
            <w:vAlign w:val="center"/>
          </w:tcPr>
          <w:p w14:paraId="5D395FAD" w14:textId="1DDCF635" w:rsidR="00890F24" w:rsidRDefault="006B6CDF" w:rsidP="003760C6">
            <w:r>
              <w:t>Available</w:t>
            </w:r>
          </w:p>
        </w:tc>
        <w:tc>
          <w:tcPr>
            <w:tcW w:w="1064" w:type="dxa"/>
            <w:vAlign w:val="center"/>
          </w:tcPr>
          <w:p w14:paraId="7D18699A" w14:textId="5754B297" w:rsidR="00890F24" w:rsidRDefault="00890F24" w:rsidP="003760C6">
            <w:r>
              <w:t>$0</w:t>
            </w:r>
          </w:p>
        </w:tc>
        <w:tc>
          <w:tcPr>
            <w:tcW w:w="1482" w:type="dxa"/>
            <w:vAlign w:val="center"/>
          </w:tcPr>
          <w:p w14:paraId="12DF610E" w14:textId="77777777" w:rsidR="00B96FD3" w:rsidRDefault="00B96FD3" w:rsidP="00B96FD3">
            <w:r>
              <w:t>Initial: $0</w:t>
            </w:r>
          </w:p>
          <w:p w14:paraId="1E9B0405" w14:textId="77777777" w:rsidR="00B96FD3" w:rsidRDefault="00B96FD3" w:rsidP="00B96FD3"/>
          <w:p w14:paraId="3BF5F48E" w14:textId="77777777" w:rsidR="00B96FD3" w:rsidRDefault="00B96FD3" w:rsidP="00B96FD3">
            <w:r>
              <w:t>Reconfigure:</w:t>
            </w:r>
          </w:p>
          <w:p w14:paraId="2C983F85" w14:textId="74995864" w:rsidR="00890F24" w:rsidRDefault="00B96FD3" w:rsidP="005340B4">
            <w:r>
              <w:t>$0</w:t>
            </w:r>
          </w:p>
        </w:tc>
      </w:tr>
      <w:tr w:rsidR="00227D59" w14:paraId="4A44683F" w14:textId="77777777" w:rsidTr="00AE5014">
        <w:trPr>
          <w:cantSplit/>
          <w:trHeight w:val="1134"/>
        </w:trPr>
        <w:tc>
          <w:tcPr>
            <w:tcW w:w="988" w:type="dxa"/>
            <w:vMerge/>
            <w:textDirection w:val="btLr"/>
            <w:vAlign w:val="center"/>
          </w:tcPr>
          <w:p w14:paraId="2597348C" w14:textId="7AD29E76" w:rsidR="00227D59" w:rsidRDefault="00227D59" w:rsidP="003760C6">
            <w:pPr>
              <w:ind w:left="113" w:right="113"/>
              <w:jc w:val="center"/>
            </w:pPr>
          </w:p>
        </w:tc>
        <w:tc>
          <w:tcPr>
            <w:tcW w:w="1457" w:type="dxa"/>
            <w:vAlign w:val="center"/>
          </w:tcPr>
          <w:p w14:paraId="6011AE46" w14:textId="500D453F" w:rsidR="00227D59" w:rsidRDefault="00227D59" w:rsidP="006B6CDF">
            <w:r>
              <w:t xml:space="preserve">Secure Messaging by Direct from an </w:t>
            </w:r>
            <w:r w:rsidR="006B6CDF">
              <w:t>EH</w:t>
            </w:r>
            <w:r w:rsidR="00E71DCA">
              <w:t>R</w:t>
            </w:r>
          </w:p>
        </w:tc>
        <w:tc>
          <w:tcPr>
            <w:tcW w:w="2094" w:type="dxa"/>
            <w:vAlign w:val="center"/>
          </w:tcPr>
          <w:p w14:paraId="3505E79B" w14:textId="7B9148C5" w:rsidR="00227D59" w:rsidRDefault="00227D59" w:rsidP="003760C6">
            <w:r>
              <w:t xml:space="preserve">The ability to connect an EHR to a HISP hosted by the QE.  A message addressed from within the EHR is routed by the QEs HISP to any other Direct capable recipient’s Inbox </w:t>
            </w:r>
          </w:p>
        </w:tc>
        <w:tc>
          <w:tcPr>
            <w:tcW w:w="2265" w:type="dxa"/>
            <w:vAlign w:val="center"/>
          </w:tcPr>
          <w:p w14:paraId="71F6FE30" w14:textId="623AE482" w:rsidR="00227D59" w:rsidRDefault="006B6CDF" w:rsidP="003760C6">
            <w:r>
              <w:t>Available</w:t>
            </w:r>
          </w:p>
        </w:tc>
        <w:tc>
          <w:tcPr>
            <w:tcW w:w="1064" w:type="dxa"/>
            <w:vAlign w:val="center"/>
          </w:tcPr>
          <w:p w14:paraId="1B776CE7" w14:textId="3D012B8B" w:rsidR="00227D59" w:rsidRDefault="00B96FD3" w:rsidP="003760C6">
            <w:r>
              <w:t>$0</w:t>
            </w:r>
          </w:p>
        </w:tc>
        <w:tc>
          <w:tcPr>
            <w:tcW w:w="1482" w:type="dxa"/>
            <w:vAlign w:val="center"/>
          </w:tcPr>
          <w:p w14:paraId="6535F9A0" w14:textId="77777777" w:rsidR="00B96FD3" w:rsidRDefault="00B96FD3" w:rsidP="00B96FD3">
            <w:r>
              <w:t>Initial: $0</w:t>
            </w:r>
          </w:p>
          <w:p w14:paraId="62B65613" w14:textId="77777777" w:rsidR="00B96FD3" w:rsidRDefault="00B96FD3" w:rsidP="00B96FD3"/>
          <w:p w14:paraId="081106C6" w14:textId="77777777" w:rsidR="00B96FD3" w:rsidRDefault="00B96FD3" w:rsidP="00B96FD3">
            <w:r>
              <w:t>Reconfigure:</w:t>
            </w:r>
          </w:p>
          <w:p w14:paraId="2ACAB630" w14:textId="2BA6995E" w:rsidR="00227D59" w:rsidRDefault="00B96FD3" w:rsidP="005340B4">
            <w:r>
              <w:t>$0</w:t>
            </w:r>
          </w:p>
        </w:tc>
      </w:tr>
      <w:tr w:rsidR="00AE5014" w14:paraId="49FF43C7" w14:textId="77777777" w:rsidTr="00AE5014">
        <w:tc>
          <w:tcPr>
            <w:tcW w:w="988" w:type="dxa"/>
            <w:vMerge/>
            <w:vAlign w:val="center"/>
          </w:tcPr>
          <w:p w14:paraId="549B34B8" w14:textId="7F38CDDE" w:rsidR="00AE5014" w:rsidRDefault="00AE5014" w:rsidP="00AE5014">
            <w:pPr>
              <w:jc w:val="center"/>
            </w:pPr>
          </w:p>
        </w:tc>
        <w:tc>
          <w:tcPr>
            <w:tcW w:w="1457" w:type="dxa"/>
            <w:vAlign w:val="center"/>
          </w:tcPr>
          <w:p w14:paraId="3450E17C" w14:textId="7F114544" w:rsidR="00AE5014" w:rsidRDefault="00AE5014" w:rsidP="00AE5014">
            <w:r>
              <w:t>Secure Messaging by Direct from a Web Browser</w:t>
            </w:r>
          </w:p>
        </w:tc>
        <w:tc>
          <w:tcPr>
            <w:tcW w:w="2094" w:type="dxa"/>
            <w:vAlign w:val="center"/>
          </w:tcPr>
          <w:p w14:paraId="472B1047" w14:textId="77777777" w:rsidR="00AE5014" w:rsidRDefault="00AE5014" w:rsidP="00AE5014">
            <w:r>
              <w:t>The ability to log into a browser and send a Direct message to another provider with a Direct capable Inbox</w:t>
            </w:r>
          </w:p>
        </w:tc>
        <w:tc>
          <w:tcPr>
            <w:tcW w:w="2265" w:type="dxa"/>
            <w:vAlign w:val="center"/>
          </w:tcPr>
          <w:p w14:paraId="07467C6B" w14:textId="7C0DFF8A" w:rsidR="00AE5014" w:rsidRDefault="006B6CDF" w:rsidP="00AE5014">
            <w:r>
              <w:t>Available</w:t>
            </w:r>
          </w:p>
        </w:tc>
        <w:tc>
          <w:tcPr>
            <w:tcW w:w="1064" w:type="dxa"/>
            <w:vAlign w:val="center"/>
          </w:tcPr>
          <w:p w14:paraId="13A31AF2" w14:textId="4CFC179D" w:rsidR="00AE5014" w:rsidRDefault="00B96FD3" w:rsidP="00AE5014">
            <w:r>
              <w:t>$0</w:t>
            </w:r>
          </w:p>
        </w:tc>
        <w:tc>
          <w:tcPr>
            <w:tcW w:w="1482" w:type="dxa"/>
            <w:vAlign w:val="center"/>
          </w:tcPr>
          <w:p w14:paraId="7A90647A" w14:textId="77777777" w:rsidR="00B96FD3" w:rsidRDefault="00B96FD3" w:rsidP="00B96FD3">
            <w:r>
              <w:t>Initial: $0</w:t>
            </w:r>
          </w:p>
          <w:p w14:paraId="106B8539" w14:textId="77777777" w:rsidR="00B96FD3" w:rsidRDefault="00B96FD3" w:rsidP="00B96FD3"/>
          <w:p w14:paraId="07E29A93" w14:textId="77777777" w:rsidR="00B96FD3" w:rsidRDefault="00B96FD3" w:rsidP="00B96FD3">
            <w:r>
              <w:t>Reconfigure:</w:t>
            </w:r>
          </w:p>
          <w:p w14:paraId="0C7FA98E" w14:textId="27BFA360" w:rsidR="00AE5014" w:rsidRDefault="00B96FD3" w:rsidP="00AE5014">
            <w:r>
              <w:t>$0</w:t>
            </w:r>
          </w:p>
        </w:tc>
      </w:tr>
      <w:tr w:rsidR="00AE5014" w14:paraId="188A0CB8" w14:textId="77777777" w:rsidTr="00AE5014">
        <w:tc>
          <w:tcPr>
            <w:tcW w:w="988" w:type="dxa"/>
            <w:vMerge/>
            <w:vAlign w:val="center"/>
          </w:tcPr>
          <w:p w14:paraId="1051B45E" w14:textId="27EE94C2" w:rsidR="00AE5014" w:rsidRDefault="00AE5014" w:rsidP="00AE5014">
            <w:pPr>
              <w:jc w:val="center"/>
            </w:pPr>
          </w:p>
        </w:tc>
        <w:tc>
          <w:tcPr>
            <w:tcW w:w="1457" w:type="dxa"/>
            <w:vAlign w:val="center"/>
          </w:tcPr>
          <w:p w14:paraId="0770B271" w14:textId="24BA0B56" w:rsidR="00AE5014" w:rsidRDefault="00AE5014" w:rsidP="00AE5014">
            <w:r>
              <w:t>Consent Management</w:t>
            </w:r>
          </w:p>
        </w:tc>
        <w:tc>
          <w:tcPr>
            <w:tcW w:w="2094" w:type="dxa"/>
            <w:vAlign w:val="center"/>
          </w:tcPr>
          <w:p w14:paraId="674AC459" w14:textId="77777777" w:rsidR="00AE5014" w:rsidRDefault="00AE5014" w:rsidP="00AE5014">
            <w:r>
              <w:t xml:space="preserve">The ability to track patient consent according to statewide policy.  Access to patient data from the QE by a provider requires </w:t>
            </w:r>
            <w:r>
              <w:lastRenderedPageBreak/>
              <w:t>consent from the patient.  The QE must be able to store consent decisions and properly track authorized access.</w:t>
            </w:r>
          </w:p>
          <w:p w14:paraId="5514025E" w14:textId="3A5B83CB" w:rsidR="00AE5014" w:rsidRDefault="00AE5014" w:rsidP="00AE5014"/>
        </w:tc>
        <w:tc>
          <w:tcPr>
            <w:tcW w:w="2265" w:type="dxa"/>
            <w:vAlign w:val="center"/>
          </w:tcPr>
          <w:p w14:paraId="61E428CD" w14:textId="7DEB54D7" w:rsidR="00AE5014" w:rsidRDefault="00AE5014" w:rsidP="00AE5014">
            <w:r>
              <w:lastRenderedPageBreak/>
              <w:t>Available</w:t>
            </w:r>
          </w:p>
        </w:tc>
        <w:tc>
          <w:tcPr>
            <w:tcW w:w="1064" w:type="dxa"/>
            <w:vAlign w:val="center"/>
          </w:tcPr>
          <w:p w14:paraId="377709C3" w14:textId="3C49400A" w:rsidR="00AE5014" w:rsidRDefault="00AE5014" w:rsidP="00AE5014">
            <w:r>
              <w:t>$0</w:t>
            </w:r>
          </w:p>
        </w:tc>
        <w:tc>
          <w:tcPr>
            <w:tcW w:w="1482" w:type="dxa"/>
            <w:vAlign w:val="center"/>
          </w:tcPr>
          <w:p w14:paraId="4B6DB50A" w14:textId="77777777" w:rsidR="00B96FD3" w:rsidRDefault="00B96FD3" w:rsidP="00B96FD3">
            <w:r>
              <w:t>Initial: $0</w:t>
            </w:r>
          </w:p>
          <w:p w14:paraId="4AC7215D" w14:textId="77777777" w:rsidR="00B96FD3" w:rsidRDefault="00B96FD3" w:rsidP="00B96FD3"/>
          <w:p w14:paraId="5457D9BB" w14:textId="77777777" w:rsidR="00B96FD3" w:rsidRDefault="00B96FD3" w:rsidP="00B96FD3">
            <w:r>
              <w:t>Reconfigure:</w:t>
            </w:r>
          </w:p>
          <w:p w14:paraId="65382071" w14:textId="4BA0FE64" w:rsidR="00AE5014" w:rsidRDefault="00B96FD3" w:rsidP="00AE5014">
            <w:r>
              <w:t>$0</w:t>
            </w:r>
          </w:p>
        </w:tc>
      </w:tr>
      <w:tr w:rsidR="00AE5014" w14:paraId="666EE242" w14:textId="77777777" w:rsidTr="00AE5014">
        <w:tc>
          <w:tcPr>
            <w:tcW w:w="988" w:type="dxa"/>
            <w:vMerge/>
            <w:tcBorders>
              <w:bottom w:val="nil"/>
            </w:tcBorders>
            <w:vAlign w:val="center"/>
          </w:tcPr>
          <w:p w14:paraId="3024A7D6" w14:textId="7027D06F" w:rsidR="00AE5014" w:rsidRDefault="00AE5014" w:rsidP="00AE5014">
            <w:pPr>
              <w:jc w:val="center"/>
            </w:pPr>
          </w:p>
        </w:tc>
        <w:tc>
          <w:tcPr>
            <w:tcW w:w="1457" w:type="dxa"/>
            <w:vAlign w:val="center"/>
          </w:tcPr>
          <w:p w14:paraId="7BEFB572" w14:textId="199D802F" w:rsidR="00AE5014" w:rsidRDefault="00AE5014" w:rsidP="00AE5014">
            <w:r>
              <w:t>Notifications</w:t>
            </w:r>
            <w:r w:rsidR="00BC2FA9">
              <w:t xml:space="preserve"> (Includes Cross QE Alerts)</w:t>
            </w:r>
          </w:p>
        </w:tc>
        <w:tc>
          <w:tcPr>
            <w:tcW w:w="2094" w:type="dxa"/>
            <w:vAlign w:val="center"/>
          </w:tcPr>
          <w:p w14:paraId="59BB66FC" w14:textId="7A262D2D" w:rsidR="00AE5014" w:rsidRDefault="00AE5014" w:rsidP="00A40B16">
            <w:r>
              <w:t>The ability for the QE to monitor incoming data feeds from providers</w:t>
            </w:r>
            <w:r w:rsidR="00A40B16">
              <w:t xml:space="preserve"> and other QE’s</w:t>
            </w:r>
            <w:r>
              <w:t>, detect significant events and send an alert to providers subscribed to receive the specified alert.</w:t>
            </w:r>
          </w:p>
        </w:tc>
        <w:tc>
          <w:tcPr>
            <w:tcW w:w="2265" w:type="dxa"/>
            <w:vAlign w:val="center"/>
          </w:tcPr>
          <w:p w14:paraId="36F81730" w14:textId="7A4C2CB9" w:rsidR="00AE5014" w:rsidRDefault="00AE5014" w:rsidP="00AE5014">
            <w:r>
              <w:t>Available</w:t>
            </w:r>
          </w:p>
        </w:tc>
        <w:tc>
          <w:tcPr>
            <w:tcW w:w="1064" w:type="dxa"/>
            <w:vAlign w:val="center"/>
          </w:tcPr>
          <w:p w14:paraId="446A7B0F" w14:textId="3723ED1A" w:rsidR="00AE5014" w:rsidRDefault="00AE5014" w:rsidP="00AE5014">
            <w:r>
              <w:t>$0</w:t>
            </w:r>
          </w:p>
        </w:tc>
        <w:tc>
          <w:tcPr>
            <w:tcW w:w="1482" w:type="dxa"/>
            <w:vAlign w:val="center"/>
          </w:tcPr>
          <w:p w14:paraId="3AFE957F" w14:textId="77777777" w:rsidR="00B96FD3" w:rsidRDefault="00B96FD3" w:rsidP="00B96FD3">
            <w:r>
              <w:t>Initial: $0</w:t>
            </w:r>
          </w:p>
          <w:p w14:paraId="53B9FE08" w14:textId="77777777" w:rsidR="00B96FD3" w:rsidRDefault="00B96FD3" w:rsidP="00B96FD3"/>
          <w:p w14:paraId="21534B08" w14:textId="77777777" w:rsidR="00B96FD3" w:rsidRDefault="00B96FD3" w:rsidP="00B96FD3">
            <w:r>
              <w:t>Reconfigure:</w:t>
            </w:r>
          </w:p>
          <w:p w14:paraId="5D82E368" w14:textId="220671F3" w:rsidR="00AE5014" w:rsidRDefault="00B96FD3" w:rsidP="00AE5014">
            <w:r>
              <w:t>$0</w:t>
            </w:r>
          </w:p>
        </w:tc>
      </w:tr>
      <w:tr w:rsidR="00AE5014" w14:paraId="452C944C" w14:textId="77777777" w:rsidTr="00AE5014"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49105074" w14:textId="77777777" w:rsidR="00AE5014" w:rsidRDefault="00AE5014" w:rsidP="00AE5014">
            <w:pPr>
              <w:jc w:val="center"/>
            </w:pPr>
          </w:p>
        </w:tc>
        <w:tc>
          <w:tcPr>
            <w:tcW w:w="1457" w:type="dxa"/>
            <w:vAlign w:val="center"/>
          </w:tcPr>
          <w:p w14:paraId="7F17830F" w14:textId="1DE0830D" w:rsidR="00AE5014" w:rsidRDefault="00AE5014" w:rsidP="00AE5014">
            <w:r>
              <w:t>Identity Management &amp; Security</w:t>
            </w:r>
          </w:p>
        </w:tc>
        <w:tc>
          <w:tcPr>
            <w:tcW w:w="2094" w:type="dxa"/>
            <w:vAlign w:val="center"/>
          </w:tcPr>
          <w:p w14:paraId="2F90BB80" w14:textId="77777777" w:rsidR="00AE5014" w:rsidRDefault="00AE5014" w:rsidP="00AE5014">
            <w:r>
              <w:t xml:space="preserve">The ability to securely </w:t>
            </w:r>
            <w:proofErr w:type="gramStart"/>
            <w:r>
              <w:t>authenticate  providers</w:t>
            </w:r>
            <w:proofErr w:type="gramEnd"/>
            <w:r>
              <w:t xml:space="preserve"> and ensure patient privacy</w:t>
            </w:r>
          </w:p>
        </w:tc>
        <w:tc>
          <w:tcPr>
            <w:tcW w:w="2265" w:type="dxa"/>
            <w:vAlign w:val="center"/>
          </w:tcPr>
          <w:p w14:paraId="7A08655D" w14:textId="6C4E4CD8" w:rsidR="00AE5014" w:rsidRDefault="00AE5014" w:rsidP="00AE5014">
            <w:r>
              <w:t>Available</w:t>
            </w:r>
          </w:p>
        </w:tc>
        <w:tc>
          <w:tcPr>
            <w:tcW w:w="1064" w:type="dxa"/>
            <w:vAlign w:val="center"/>
          </w:tcPr>
          <w:p w14:paraId="406BA70B" w14:textId="0C9369C9" w:rsidR="00AE5014" w:rsidRDefault="00AE5014" w:rsidP="00AE5014">
            <w:r>
              <w:t>$0</w:t>
            </w:r>
          </w:p>
        </w:tc>
        <w:tc>
          <w:tcPr>
            <w:tcW w:w="1482" w:type="dxa"/>
            <w:vAlign w:val="center"/>
          </w:tcPr>
          <w:p w14:paraId="4949815E" w14:textId="77777777" w:rsidR="00B96FD3" w:rsidRDefault="00B96FD3" w:rsidP="00B96FD3">
            <w:r>
              <w:t>Initial: $0</w:t>
            </w:r>
          </w:p>
          <w:p w14:paraId="23F4DEF9" w14:textId="77777777" w:rsidR="00B96FD3" w:rsidRDefault="00B96FD3" w:rsidP="00B96FD3"/>
          <w:p w14:paraId="041AB88C" w14:textId="77777777" w:rsidR="00B96FD3" w:rsidRDefault="00B96FD3" w:rsidP="00B96FD3">
            <w:r>
              <w:t>Reconfigure:</w:t>
            </w:r>
          </w:p>
          <w:p w14:paraId="5AF88655" w14:textId="0CF962BE" w:rsidR="00AE5014" w:rsidRDefault="00B96FD3" w:rsidP="00AE5014">
            <w:r>
              <w:t>$0</w:t>
            </w:r>
          </w:p>
        </w:tc>
      </w:tr>
      <w:tr w:rsidR="00AE5014" w14:paraId="49D96A4E" w14:textId="77777777" w:rsidTr="00AE5014">
        <w:tc>
          <w:tcPr>
            <w:tcW w:w="988" w:type="dxa"/>
            <w:vMerge w:val="restart"/>
            <w:tcBorders>
              <w:top w:val="nil"/>
              <w:bottom w:val="nil"/>
            </w:tcBorders>
            <w:textDirection w:val="btLr"/>
            <w:vAlign w:val="center"/>
          </w:tcPr>
          <w:p w14:paraId="7E8E002A" w14:textId="39AEBBE7" w:rsidR="00AE5014" w:rsidRDefault="00AE5014" w:rsidP="00AE5014">
            <w:pPr>
              <w:ind w:left="113" w:right="113"/>
              <w:jc w:val="center"/>
            </w:pPr>
            <w:r>
              <w:t>Dial Tone</w:t>
            </w:r>
            <w:r w:rsidR="00373E17">
              <w:t>/Core</w:t>
            </w:r>
            <w:r>
              <w:t xml:space="preserve"> Services</w:t>
            </w:r>
          </w:p>
        </w:tc>
        <w:tc>
          <w:tcPr>
            <w:tcW w:w="1457" w:type="dxa"/>
            <w:vAlign w:val="center"/>
          </w:tcPr>
          <w:p w14:paraId="4CDE455F" w14:textId="17F3C9B6" w:rsidR="00AE5014" w:rsidRDefault="00AE5014" w:rsidP="00AE5014">
            <w:r>
              <w:t>Provider Clinical Viewer</w:t>
            </w:r>
          </w:p>
        </w:tc>
        <w:tc>
          <w:tcPr>
            <w:tcW w:w="2094" w:type="dxa"/>
            <w:vAlign w:val="center"/>
          </w:tcPr>
          <w:p w14:paraId="2C40B54C" w14:textId="77777777" w:rsidR="00AE5014" w:rsidRDefault="00AE5014" w:rsidP="00AE5014">
            <w:r>
              <w:t xml:space="preserve">A browser-based portal for a provider to </w:t>
            </w:r>
            <w:r w:rsidRPr="00CA0C11">
              <w:t>securely ac</w:t>
            </w:r>
            <w:r>
              <w:t xml:space="preserve">cess individual patient records </w:t>
            </w:r>
            <w:r w:rsidRPr="00CA0C11">
              <w:t>from all available local, statewide and other data sources accessible by the QE.</w:t>
            </w:r>
          </w:p>
        </w:tc>
        <w:tc>
          <w:tcPr>
            <w:tcW w:w="2265" w:type="dxa"/>
            <w:vAlign w:val="center"/>
          </w:tcPr>
          <w:p w14:paraId="7029755F" w14:textId="564DD928" w:rsidR="00AE5014" w:rsidRDefault="00AE5014" w:rsidP="00AE5014">
            <w:r>
              <w:t>Available</w:t>
            </w:r>
          </w:p>
        </w:tc>
        <w:tc>
          <w:tcPr>
            <w:tcW w:w="1064" w:type="dxa"/>
            <w:vAlign w:val="center"/>
          </w:tcPr>
          <w:p w14:paraId="350241FB" w14:textId="631EF226" w:rsidR="00AE5014" w:rsidRDefault="00AE5014" w:rsidP="00AE5014">
            <w:r>
              <w:t>$0</w:t>
            </w:r>
          </w:p>
        </w:tc>
        <w:tc>
          <w:tcPr>
            <w:tcW w:w="1482" w:type="dxa"/>
            <w:vAlign w:val="center"/>
          </w:tcPr>
          <w:p w14:paraId="160B5650" w14:textId="77777777" w:rsidR="00B96FD3" w:rsidRDefault="00B96FD3" w:rsidP="00B96FD3">
            <w:r>
              <w:t>Initial: $0</w:t>
            </w:r>
          </w:p>
          <w:p w14:paraId="4BFAF714" w14:textId="77777777" w:rsidR="00B96FD3" w:rsidRDefault="00B96FD3" w:rsidP="00B96FD3"/>
          <w:p w14:paraId="75E5A70F" w14:textId="77777777" w:rsidR="00B96FD3" w:rsidRDefault="00B96FD3" w:rsidP="00B96FD3">
            <w:r>
              <w:t>Reconfigure:</w:t>
            </w:r>
          </w:p>
          <w:p w14:paraId="0B55D219" w14:textId="22625135" w:rsidR="00AE5014" w:rsidRDefault="00B96FD3" w:rsidP="00AE5014">
            <w:r>
              <w:t>$0</w:t>
            </w:r>
          </w:p>
        </w:tc>
      </w:tr>
      <w:tr w:rsidR="00AE5014" w14:paraId="1BF47879" w14:textId="77777777" w:rsidTr="00AE5014">
        <w:tc>
          <w:tcPr>
            <w:tcW w:w="988" w:type="dxa"/>
            <w:vMerge/>
            <w:tcBorders>
              <w:top w:val="nil"/>
              <w:bottom w:val="nil"/>
            </w:tcBorders>
            <w:vAlign w:val="center"/>
          </w:tcPr>
          <w:p w14:paraId="6C286594" w14:textId="62858512" w:rsidR="00AE5014" w:rsidRDefault="00AE5014" w:rsidP="00AE5014">
            <w:pPr>
              <w:jc w:val="center"/>
            </w:pPr>
          </w:p>
        </w:tc>
        <w:tc>
          <w:tcPr>
            <w:tcW w:w="1457" w:type="dxa"/>
            <w:vAlign w:val="center"/>
          </w:tcPr>
          <w:p w14:paraId="3C265125" w14:textId="7A6768B2" w:rsidR="00AE5014" w:rsidRDefault="00AE5014" w:rsidP="00AE5014">
            <w:r>
              <w:t>Public Health Clinical Viewer</w:t>
            </w:r>
          </w:p>
        </w:tc>
        <w:tc>
          <w:tcPr>
            <w:tcW w:w="2094" w:type="dxa"/>
            <w:vAlign w:val="center"/>
          </w:tcPr>
          <w:p w14:paraId="57C5F532" w14:textId="25A01D79" w:rsidR="00AE5014" w:rsidRDefault="00AE5014" w:rsidP="00AE5014">
            <w:r>
              <w:t>A browser-based portal for staff at public health dep</w:t>
            </w:r>
            <w:r w:rsidR="00A40B16">
              <w:t>artmen</w:t>
            </w:r>
            <w:r>
              <w:t xml:space="preserve">t to </w:t>
            </w:r>
            <w:r w:rsidRPr="00CA0C11">
              <w:t>securely ac</w:t>
            </w:r>
            <w:r>
              <w:t>cess individual patient records.</w:t>
            </w:r>
          </w:p>
        </w:tc>
        <w:tc>
          <w:tcPr>
            <w:tcW w:w="2265" w:type="dxa"/>
            <w:vAlign w:val="center"/>
          </w:tcPr>
          <w:p w14:paraId="3EF89823" w14:textId="30D227C3" w:rsidR="00AE5014" w:rsidRDefault="00AE5014" w:rsidP="00AE5014">
            <w:r>
              <w:t>Available</w:t>
            </w:r>
          </w:p>
        </w:tc>
        <w:tc>
          <w:tcPr>
            <w:tcW w:w="1064" w:type="dxa"/>
            <w:vAlign w:val="center"/>
          </w:tcPr>
          <w:p w14:paraId="6A3010E9" w14:textId="3450ED46" w:rsidR="00AE5014" w:rsidRDefault="00AE5014" w:rsidP="00AE5014">
            <w:r>
              <w:t>$0</w:t>
            </w:r>
          </w:p>
        </w:tc>
        <w:tc>
          <w:tcPr>
            <w:tcW w:w="1482" w:type="dxa"/>
            <w:vAlign w:val="center"/>
          </w:tcPr>
          <w:p w14:paraId="19AA8C6A" w14:textId="77777777" w:rsidR="00B96FD3" w:rsidRDefault="00B96FD3" w:rsidP="00B96FD3">
            <w:r>
              <w:t>Initial: $0</w:t>
            </w:r>
          </w:p>
          <w:p w14:paraId="3ED96F10" w14:textId="77777777" w:rsidR="00B96FD3" w:rsidRDefault="00B96FD3" w:rsidP="00B96FD3"/>
          <w:p w14:paraId="36868743" w14:textId="77777777" w:rsidR="00B96FD3" w:rsidRDefault="00B96FD3" w:rsidP="00B96FD3">
            <w:r>
              <w:t>Reconfigure:</w:t>
            </w:r>
          </w:p>
          <w:p w14:paraId="306053C6" w14:textId="32BA60EB" w:rsidR="00AE5014" w:rsidRDefault="00B96FD3" w:rsidP="00AE5014">
            <w:r>
              <w:t>$0</w:t>
            </w:r>
          </w:p>
        </w:tc>
      </w:tr>
      <w:tr w:rsidR="00AE5014" w14:paraId="6AEE8781" w14:textId="77777777" w:rsidTr="00AE5014">
        <w:tc>
          <w:tcPr>
            <w:tcW w:w="988" w:type="dxa"/>
            <w:vMerge/>
            <w:tcBorders>
              <w:top w:val="nil"/>
              <w:bottom w:val="nil"/>
            </w:tcBorders>
            <w:vAlign w:val="center"/>
          </w:tcPr>
          <w:p w14:paraId="388824C2" w14:textId="643C90F4" w:rsidR="00AE5014" w:rsidRDefault="00AE5014" w:rsidP="00AE5014">
            <w:pPr>
              <w:jc w:val="center"/>
            </w:pPr>
          </w:p>
        </w:tc>
        <w:tc>
          <w:tcPr>
            <w:tcW w:w="1457" w:type="dxa"/>
            <w:vMerge w:val="restart"/>
            <w:vAlign w:val="center"/>
          </w:tcPr>
          <w:p w14:paraId="72E9F1AB" w14:textId="16B85456" w:rsidR="00AE5014" w:rsidRDefault="00AE5014" w:rsidP="00AE5014">
            <w:r>
              <w:t>Public Health Integration</w:t>
            </w:r>
          </w:p>
          <w:p w14:paraId="13E92622" w14:textId="224E709D" w:rsidR="00AE5014" w:rsidRDefault="00AE5014" w:rsidP="00AE5014"/>
          <w:p w14:paraId="7268A750" w14:textId="61CD76AB" w:rsidR="00AE5014" w:rsidRDefault="00AE5014" w:rsidP="00AE5014"/>
          <w:p w14:paraId="33E79469" w14:textId="39CF53C5" w:rsidR="00AE5014" w:rsidRDefault="00AE5014" w:rsidP="00AE5014"/>
          <w:p w14:paraId="7815D741" w14:textId="4803187D" w:rsidR="00AE5014" w:rsidRDefault="00AE5014" w:rsidP="00AE5014"/>
        </w:tc>
        <w:tc>
          <w:tcPr>
            <w:tcW w:w="2094" w:type="dxa"/>
            <w:vAlign w:val="center"/>
          </w:tcPr>
          <w:p w14:paraId="64E000AC" w14:textId="77777777" w:rsidR="00AE5014" w:rsidRDefault="00AE5014" w:rsidP="00AE5014">
            <w:r>
              <w:lastRenderedPageBreak/>
              <w:t xml:space="preserve">The ability to route public health reporting information to NY </w:t>
            </w:r>
            <w:r>
              <w:lastRenderedPageBreak/>
              <w:t>State and NY City designated aggregation points on behalf of providers</w:t>
            </w:r>
          </w:p>
        </w:tc>
        <w:tc>
          <w:tcPr>
            <w:tcW w:w="4811" w:type="dxa"/>
            <w:gridSpan w:val="3"/>
            <w:vAlign w:val="center"/>
          </w:tcPr>
          <w:p w14:paraId="63D585FC" w14:textId="6CB3D340" w:rsidR="00AE5014" w:rsidRDefault="00AE5014" w:rsidP="00AE5014">
            <w:r>
              <w:lastRenderedPageBreak/>
              <w:t>Individual functions documented below</w:t>
            </w:r>
          </w:p>
        </w:tc>
      </w:tr>
      <w:tr w:rsidR="00AE5014" w14:paraId="38EEF95E" w14:textId="77777777" w:rsidTr="00AE5014">
        <w:tc>
          <w:tcPr>
            <w:tcW w:w="988" w:type="dxa"/>
            <w:vMerge/>
            <w:tcBorders>
              <w:top w:val="nil"/>
              <w:bottom w:val="nil"/>
            </w:tcBorders>
            <w:vAlign w:val="center"/>
          </w:tcPr>
          <w:p w14:paraId="7562E282" w14:textId="10A2E9A1" w:rsidR="00AE5014" w:rsidRDefault="00AE5014" w:rsidP="00AE5014">
            <w:pPr>
              <w:jc w:val="center"/>
            </w:pPr>
          </w:p>
        </w:tc>
        <w:tc>
          <w:tcPr>
            <w:tcW w:w="1457" w:type="dxa"/>
            <w:vMerge/>
            <w:vAlign w:val="center"/>
          </w:tcPr>
          <w:p w14:paraId="3A5DE83A" w14:textId="254F7C5E" w:rsidR="00AE5014" w:rsidRDefault="00AE5014" w:rsidP="00AE5014"/>
        </w:tc>
        <w:tc>
          <w:tcPr>
            <w:tcW w:w="2094" w:type="dxa"/>
            <w:vAlign w:val="center"/>
          </w:tcPr>
          <w:p w14:paraId="3FA2DCF3" w14:textId="0F081A55" w:rsidR="00AE5014" w:rsidRPr="003760C6" w:rsidRDefault="00AE5014" w:rsidP="00AE5014">
            <w:pPr>
              <w:rPr>
                <w:i/>
              </w:rPr>
            </w:pPr>
            <w:r w:rsidRPr="003760C6">
              <w:rPr>
                <w:i/>
              </w:rPr>
              <w:t>Syndromic Surveillance</w:t>
            </w:r>
            <w:r w:rsidR="00195E3D">
              <w:rPr>
                <w:i/>
              </w:rPr>
              <w:t xml:space="preserve"> Data</w:t>
            </w:r>
          </w:p>
        </w:tc>
        <w:tc>
          <w:tcPr>
            <w:tcW w:w="2265" w:type="dxa"/>
            <w:vAlign w:val="center"/>
          </w:tcPr>
          <w:p w14:paraId="660334FC" w14:textId="7178D86F" w:rsidR="00AE5014" w:rsidRDefault="006B6CDF" w:rsidP="00AE5014">
            <w:r>
              <w:t>Available</w:t>
            </w:r>
          </w:p>
        </w:tc>
        <w:tc>
          <w:tcPr>
            <w:tcW w:w="1064" w:type="dxa"/>
            <w:vAlign w:val="center"/>
          </w:tcPr>
          <w:p w14:paraId="2414982B" w14:textId="10F3C97E" w:rsidR="00AE5014" w:rsidRDefault="00AE5014" w:rsidP="00AE5014">
            <w:r>
              <w:t>$0</w:t>
            </w:r>
          </w:p>
        </w:tc>
        <w:tc>
          <w:tcPr>
            <w:tcW w:w="1482" w:type="dxa"/>
            <w:vAlign w:val="center"/>
          </w:tcPr>
          <w:p w14:paraId="02507630" w14:textId="77777777" w:rsidR="00B96FD3" w:rsidRDefault="00B96FD3" w:rsidP="00B96FD3">
            <w:r>
              <w:t>Initial: $0</w:t>
            </w:r>
          </w:p>
          <w:p w14:paraId="63D2AFF4" w14:textId="77777777" w:rsidR="00B96FD3" w:rsidRDefault="00B96FD3" w:rsidP="00B96FD3"/>
          <w:p w14:paraId="24B51D67" w14:textId="77777777" w:rsidR="00B96FD3" w:rsidRDefault="00B96FD3" w:rsidP="00B96FD3">
            <w:r>
              <w:t>Reconfigure:</w:t>
            </w:r>
          </w:p>
          <w:p w14:paraId="451E5D52" w14:textId="5AE87B1D" w:rsidR="00AE5014" w:rsidRDefault="00B96FD3" w:rsidP="00AE5014">
            <w:r>
              <w:t>$0</w:t>
            </w:r>
          </w:p>
        </w:tc>
      </w:tr>
      <w:tr w:rsidR="00AE5014" w14:paraId="1466CB78" w14:textId="77777777" w:rsidTr="00AE5014">
        <w:tc>
          <w:tcPr>
            <w:tcW w:w="988" w:type="dxa"/>
            <w:vMerge/>
            <w:tcBorders>
              <w:top w:val="nil"/>
              <w:bottom w:val="nil"/>
            </w:tcBorders>
            <w:vAlign w:val="center"/>
          </w:tcPr>
          <w:p w14:paraId="0E987D72" w14:textId="6E20B881" w:rsidR="00AE5014" w:rsidRDefault="00AE5014" w:rsidP="00AE5014">
            <w:pPr>
              <w:jc w:val="center"/>
            </w:pPr>
          </w:p>
        </w:tc>
        <w:tc>
          <w:tcPr>
            <w:tcW w:w="1457" w:type="dxa"/>
            <w:vMerge/>
            <w:vAlign w:val="center"/>
          </w:tcPr>
          <w:p w14:paraId="2C7167E2" w14:textId="222C0A6B" w:rsidR="00AE5014" w:rsidRDefault="00AE5014" w:rsidP="00AE5014"/>
        </w:tc>
        <w:tc>
          <w:tcPr>
            <w:tcW w:w="2094" w:type="dxa"/>
            <w:vAlign w:val="center"/>
          </w:tcPr>
          <w:p w14:paraId="15AB1010" w14:textId="63BC4ECE" w:rsidR="00AE5014" w:rsidRPr="003760C6" w:rsidRDefault="00195E3D" w:rsidP="00AE5014">
            <w:pPr>
              <w:rPr>
                <w:i/>
              </w:rPr>
            </w:pPr>
            <w:r>
              <w:rPr>
                <w:i/>
              </w:rPr>
              <w:t>Reportable</w:t>
            </w:r>
            <w:r w:rsidR="00AE5014" w:rsidRPr="003760C6">
              <w:rPr>
                <w:i/>
              </w:rPr>
              <w:t xml:space="preserve"> Lab</w:t>
            </w:r>
            <w:r>
              <w:rPr>
                <w:i/>
              </w:rPr>
              <w:t>oratory</w:t>
            </w:r>
            <w:r w:rsidR="00AE5014" w:rsidRPr="003760C6">
              <w:rPr>
                <w:i/>
              </w:rPr>
              <w:t xml:space="preserve"> Results</w:t>
            </w:r>
          </w:p>
        </w:tc>
        <w:tc>
          <w:tcPr>
            <w:tcW w:w="2265" w:type="dxa"/>
            <w:vAlign w:val="center"/>
          </w:tcPr>
          <w:p w14:paraId="5E93E9D0" w14:textId="51EBA322" w:rsidR="00AE5014" w:rsidRDefault="006B6CDF" w:rsidP="00AE5014">
            <w:r>
              <w:t>Available</w:t>
            </w:r>
          </w:p>
        </w:tc>
        <w:tc>
          <w:tcPr>
            <w:tcW w:w="1064" w:type="dxa"/>
            <w:vAlign w:val="center"/>
          </w:tcPr>
          <w:p w14:paraId="6B7DACA6" w14:textId="73858F9B" w:rsidR="00AE5014" w:rsidRDefault="00AE5014" w:rsidP="00AE5014">
            <w:r>
              <w:t>$0</w:t>
            </w:r>
          </w:p>
        </w:tc>
        <w:tc>
          <w:tcPr>
            <w:tcW w:w="1482" w:type="dxa"/>
            <w:vAlign w:val="center"/>
          </w:tcPr>
          <w:p w14:paraId="4CE3BC0C" w14:textId="77777777" w:rsidR="00B96FD3" w:rsidRDefault="00B96FD3" w:rsidP="00B96FD3">
            <w:r>
              <w:t>Initial: $0</w:t>
            </w:r>
          </w:p>
          <w:p w14:paraId="57B1F831" w14:textId="77777777" w:rsidR="00B96FD3" w:rsidRDefault="00B96FD3" w:rsidP="00B96FD3"/>
          <w:p w14:paraId="618B55DA" w14:textId="77777777" w:rsidR="00B96FD3" w:rsidRDefault="00B96FD3" w:rsidP="00B96FD3">
            <w:r>
              <w:t>Reconfigure:</w:t>
            </w:r>
          </w:p>
          <w:p w14:paraId="4F553F36" w14:textId="3148C909" w:rsidR="00AE5014" w:rsidRDefault="00B96FD3" w:rsidP="00AE5014">
            <w:r>
              <w:t>$0</w:t>
            </w:r>
          </w:p>
        </w:tc>
      </w:tr>
      <w:tr w:rsidR="00AE5014" w14:paraId="3FF20FFF" w14:textId="77777777" w:rsidTr="00AE5014">
        <w:tc>
          <w:tcPr>
            <w:tcW w:w="988" w:type="dxa"/>
            <w:vMerge/>
            <w:tcBorders>
              <w:top w:val="nil"/>
              <w:bottom w:val="nil"/>
            </w:tcBorders>
            <w:vAlign w:val="center"/>
          </w:tcPr>
          <w:p w14:paraId="670C467D" w14:textId="5056CBD6" w:rsidR="00AE5014" w:rsidRDefault="00AE5014" w:rsidP="00AE5014">
            <w:pPr>
              <w:jc w:val="center"/>
            </w:pPr>
          </w:p>
        </w:tc>
        <w:tc>
          <w:tcPr>
            <w:tcW w:w="1457" w:type="dxa"/>
            <w:vMerge/>
            <w:vAlign w:val="center"/>
          </w:tcPr>
          <w:p w14:paraId="6E5B1D9C" w14:textId="70ED9F7C" w:rsidR="00AE5014" w:rsidRDefault="00AE5014" w:rsidP="00AE5014"/>
        </w:tc>
        <w:tc>
          <w:tcPr>
            <w:tcW w:w="2094" w:type="dxa"/>
            <w:vAlign w:val="center"/>
          </w:tcPr>
          <w:p w14:paraId="388BE408" w14:textId="4A281E2F" w:rsidR="00AE5014" w:rsidRPr="003760C6" w:rsidRDefault="00AE5014" w:rsidP="00AE5014">
            <w:pPr>
              <w:rPr>
                <w:i/>
              </w:rPr>
            </w:pPr>
            <w:r w:rsidRPr="003760C6">
              <w:rPr>
                <w:i/>
              </w:rPr>
              <w:t xml:space="preserve">Newborn </w:t>
            </w:r>
            <w:r w:rsidR="00195E3D">
              <w:rPr>
                <w:i/>
              </w:rPr>
              <w:t xml:space="preserve">Bloodspot </w:t>
            </w:r>
            <w:r w:rsidRPr="003760C6">
              <w:rPr>
                <w:i/>
              </w:rPr>
              <w:t>Screening</w:t>
            </w:r>
          </w:p>
        </w:tc>
        <w:tc>
          <w:tcPr>
            <w:tcW w:w="2265" w:type="dxa"/>
            <w:vAlign w:val="center"/>
          </w:tcPr>
          <w:p w14:paraId="69B7D235" w14:textId="0046B555" w:rsidR="00AE5014" w:rsidRDefault="006B6CDF" w:rsidP="00AE5014">
            <w:r>
              <w:t>Available</w:t>
            </w:r>
          </w:p>
        </w:tc>
        <w:tc>
          <w:tcPr>
            <w:tcW w:w="1064" w:type="dxa"/>
            <w:vAlign w:val="center"/>
          </w:tcPr>
          <w:p w14:paraId="4C082A26" w14:textId="65E32D49" w:rsidR="00AE5014" w:rsidRDefault="00AE5014" w:rsidP="00AE5014">
            <w:r>
              <w:t>$0</w:t>
            </w:r>
          </w:p>
        </w:tc>
        <w:tc>
          <w:tcPr>
            <w:tcW w:w="1482" w:type="dxa"/>
            <w:vAlign w:val="center"/>
          </w:tcPr>
          <w:p w14:paraId="34372F81" w14:textId="77777777" w:rsidR="00B96FD3" w:rsidRDefault="00B96FD3" w:rsidP="00B96FD3">
            <w:r>
              <w:t>Initial: $0</w:t>
            </w:r>
          </w:p>
          <w:p w14:paraId="44262B73" w14:textId="77777777" w:rsidR="00B96FD3" w:rsidRDefault="00B96FD3" w:rsidP="00B96FD3"/>
          <w:p w14:paraId="075DAE7A" w14:textId="77777777" w:rsidR="00B96FD3" w:rsidRDefault="00B96FD3" w:rsidP="00B96FD3">
            <w:r>
              <w:t>Reconfigure:</w:t>
            </w:r>
          </w:p>
          <w:p w14:paraId="7045C70C" w14:textId="26ED8463" w:rsidR="00AE5014" w:rsidRDefault="00B96FD3" w:rsidP="00AE5014">
            <w:r>
              <w:t>$0</w:t>
            </w:r>
          </w:p>
        </w:tc>
      </w:tr>
      <w:tr w:rsidR="00AE5014" w14:paraId="105C5B3E" w14:textId="77777777" w:rsidTr="00AE5014">
        <w:tc>
          <w:tcPr>
            <w:tcW w:w="988" w:type="dxa"/>
            <w:vMerge/>
            <w:tcBorders>
              <w:top w:val="nil"/>
              <w:bottom w:val="nil"/>
            </w:tcBorders>
            <w:vAlign w:val="center"/>
          </w:tcPr>
          <w:p w14:paraId="449B58E7" w14:textId="57F1A02F" w:rsidR="00AE5014" w:rsidRDefault="00AE5014" w:rsidP="00AE5014">
            <w:pPr>
              <w:jc w:val="center"/>
            </w:pPr>
          </w:p>
        </w:tc>
        <w:tc>
          <w:tcPr>
            <w:tcW w:w="1457" w:type="dxa"/>
            <w:vMerge/>
            <w:tcBorders>
              <w:bottom w:val="nil"/>
            </w:tcBorders>
            <w:vAlign w:val="center"/>
          </w:tcPr>
          <w:p w14:paraId="00DB4849" w14:textId="0A038894" w:rsidR="00AE5014" w:rsidRDefault="00AE5014" w:rsidP="00AE5014"/>
        </w:tc>
        <w:tc>
          <w:tcPr>
            <w:tcW w:w="2094" w:type="dxa"/>
            <w:vAlign w:val="center"/>
          </w:tcPr>
          <w:p w14:paraId="7770CB9E" w14:textId="139A4576" w:rsidR="00AE5014" w:rsidRPr="003760C6" w:rsidRDefault="00AE5014" w:rsidP="00AE5014">
            <w:pPr>
              <w:rPr>
                <w:i/>
              </w:rPr>
            </w:pPr>
            <w:r w:rsidRPr="003760C6">
              <w:rPr>
                <w:i/>
              </w:rPr>
              <w:t>Immunizations</w:t>
            </w:r>
          </w:p>
        </w:tc>
        <w:tc>
          <w:tcPr>
            <w:tcW w:w="2265" w:type="dxa"/>
            <w:vAlign w:val="center"/>
          </w:tcPr>
          <w:p w14:paraId="3D4067F5" w14:textId="2E48B6D0" w:rsidR="00AE5014" w:rsidRDefault="006B6CDF" w:rsidP="00AE5014">
            <w:r>
              <w:t>Available</w:t>
            </w:r>
          </w:p>
        </w:tc>
        <w:tc>
          <w:tcPr>
            <w:tcW w:w="1064" w:type="dxa"/>
            <w:vAlign w:val="center"/>
          </w:tcPr>
          <w:p w14:paraId="6AE0F53F" w14:textId="0E937C78" w:rsidR="00AE5014" w:rsidRDefault="00AE5014" w:rsidP="00AE5014">
            <w:r>
              <w:t>$0</w:t>
            </w:r>
          </w:p>
        </w:tc>
        <w:tc>
          <w:tcPr>
            <w:tcW w:w="1482" w:type="dxa"/>
            <w:vAlign w:val="center"/>
          </w:tcPr>
          <w:p w14:paraId="3F8B105F" w14:textId="77777777" w:rsidR="00B96FD3" w:rsidRDefault="00B96FD3" w:rsidP="00B96FD3">
            <w:r>
              <w:t>Initial: $0</w:t>
            </w:r>
          </w:p>
          <w:p w14:paraId="54FFD6EA" w14:textId="77777777" w:rsidR="00B96FD3" w:rsidRDefault="00B96FD3" w:rsidP="00B96FD3"/>
          <w:p w14:paraId="75E4B701" w14:textId="77777777" w:rsidR="00B96FD3" w:rsidRDefault="00B96FD3" w:rsidP="00B96FD3">
            <w:r>
              <w:t>Reconfigure:</w:t>
            </w:r>
          </w:p>
          <w:p w14:paraId="532D6A85" w14:textId="09CF974A" w:rsidR="00AE5014" w:rsidRDefault="00B96FD3" w:rsidP="00AE5014">
            <w:r>
              <w:t>$0</w:t>
            </w:r>
          </w:p>
        </w:tc>
      </w:tr>
      <w:tr w:rsidR="00AE5014" w14:paraId="12348B90" w14:textId="77777777" w:rsidTr="00AE5014">
        <w:tc>
          <w:tcPr>
            <w:tcW w:w="988" w:type="dxa"/>
            <w:vMerge/>
            <w:tcBorders>
              <w:top w:val="nil"/>
              <w:bottom w:val="nil"/>
            </w:tcBorders>
            <w:vAlign w:val="center"/>
          </w:tcPr>
          <w:p w14:paraId="7EA849D2" w14:textId="77777777" w:rsidR="00AE5014" w:rsidRDefault="00AE5014" w:rsidP="00AE5014">
            <w:pPr>
              <w:jc w:val="center"/>
            </w:pPr>
          </w:p>
        </w:tc>
        <w:tc>
          <w:tcPr>
            <w:tcW w:w="1457" w:type="dxa"/>
            <w:tcBorders>
              <w:top w:val="nil"/>
              <w:bottom w:val="single" w:sz="4" w:space="0" w:color="auto"/>
            </w:tcBorders>
            <w:vAlign w:val="center"/>
          </w:tcPr>
          <w:p w14:paraId="1924E957" w14:textId="77777777" w:rsidR="00AE5014" w:rsidRDefault="00AE5014" w:rsidP="00AE5014"/>
        </w:tc>
        <w:tc>
          <w:tcPr>
            <w:tcW w:w="2094" w:type="dxa"/>
            <w:vAlign w:val="center"/>
          </w:tcPr>
          <w:p w14:paraId="38185F62" w14:textId="1D2960BF" w:rsidR="00AE5014" w:rsidRPr="003760C6" w:rsidRDefault="00AE5014" w:rsidP="00B7091E">
            <w:pPr>
              <w:rPr>
                <w:i/>
              </w:rPr>
            </w:pPr>
            <w:r>
              <w:rPr>
                <w:i/>
              </w:rPr>
              <w:t xml:space="preserve">Cancer </w:t>
            </w:r>
            <w:r w:rsidR="00B7091E">
              <w:rPr>
                <w:i/>
              </w:rPr>
              <w:t>C</w:t>
            </w:r>
            <w:r>
              <w:rPr>
                <w:i/>
              </w:rPr>
              <w:t>ases</w:t>
            </w:r>
          </w:p>
        </w:tc>
        <w:tc>
          <w:tcPr>
            <w:tcW w:w="2265" w:type="dxa"/>
            <w:vAlign w:val="center"/>
          </w:tcPr>
          <w:p w14:paraId="1A1015F6" w14:textId="5192207F" w:rsidR="00AE5014" w:rsidRDefault="006B6CDF" w:rsidP="00AE5014">
            <w:r>
              <w:t>Available</w:t>
            </w:r>
          </w:p>
        </w:tc>
        <w:tc>
          <w:tcPr>
            <w:tcW w:w="1064" w:type="dxa"/>
            <w:vAlign w:val="center"/>
          </w:tcPr>
          <w:p w14:paraId="76272C4C" w14:textId="63A53C0F" w:rsidR="00AE5014" w:rsidRDefault="00AE5014" w:rsidP="00AE5014">
            <w:r>
              <w:t>$0</w:t>
            </w:r>
          </w:p>
        </w:tc>
        <w:tc>
          <w:tcPr>
            <w:tcW w:w="1482" w:type="dxa"/>
            <w:vAlign w:val="center"/>
          </w:tcPr>
          <w:p w14:paraId="736B74D7" w14:textId="77777777" w:rsidR="00B96FD3" w:rsidRDefault="00B96FD3" w:rsidP="00B96FD3">
            <w:r>
              <w:t>Initial: $0</w:t>
            </w:r>
          </w:p>
          <w:p w14:paraId="7C6E5868" w14:textId="77777777" w:rsidR="00B96FD3" w:rsidRDefault="00B96FD3" w:rsidP="00B96FD3"/>
          <w:p w14:paraId="30429B2C" w14:textId="77777777" w:rsidR="00B96FD3" w:rsidRDefault="00B96FD3" w:rsidP="00B96FD3">
            <w:r>
              <w:t>Reconfigure:</w:t>
            </w:r>
          </w:p>
          <w:p w14:paraId="57DB46B6" w14:textId="3DB26DF4" w:rsidR="00AE5014" w:rsidRDefault="00B96FD3" w:rsidP="00AE5014">
            <w:r>
              <w:t>$0</w:t>
            </w:r>
          </w:p>
        </w:tc>
      </w:tr>
      <w:tr w:rsidR="00B7091E" w14:paraId="3725796D" w14:textId="77777777" w:rsidTr="00AE5014">
        <w:tc>
          <w:tcPr>
            <w:tcW w:w="988" w:type="dxa"/>
            <w:vMerge/>
            <w:tcBorders>
              <w:top w:val="nil"/>
              <w:bottom w:val="nil"/>
            </w:tcBorders>
            <w:vAlign w:val="center"/>
          </w:tcPr>
          <w:p w14:paraId="2ACEAB93" w14:textId="77777777" w:rsidR="00B7091E" w:rsidRDefault="00B7091E" w:rsidP="00B7091E">
            <w:pPr>
              <w:jc w:val="center"/>
            </w:pPr>
          </w:p>
        </w:tc>
        <w:tc>
          <w:tcPr>
            <w:tcW w:w="1457" w:type="dxa"/>
            <w:tcBorders>
              <w:top w:val="nil"/>
              <w:bottom w:val="single" w:sz="4" w:space="0" w:color="auto"/>
            </w:tcBorders>
            <w:vAlign w:val="center"/>
          </w:tcPr>
          <w:p w14:paraId="5598FD05" w14:textId="77777777" w:rsidR="00B7091E" w:rsidRDefault="00B7091E" w:rsidP="00B7091E"/>
        </w:tc>
        <w:tc>
          <w:tcPr>
            <w:tcW w:w="2094" w:type="dxa"/>
            <w:vAlign w:val="center"/>
          </w:tcPr>
          <w:p w14:paraId="692F81C1" w14:textId="5771442B" w:rsidR="00B7091E" w:rsidRDefault="00B7091E" w:rsidP="00B7091E">
            <w:pPr>
              <w:rPr>
                <w:i/>
              </w:rPr>
            </w:pPr>
            <w:r>
              <w:rPr>
                <w:i/>
              </w:rPr>
              <w:t>Emergency Preparedness and Response Support</w:t>
            </w:r>
          </w:p>
        </w:tc>
        <w:tc>
          <w:tcPr>
            <w:tcW w:w="2265" w:type="dxa"/>
            <w:vAlign w:val="center"/>
          </w:tcPr>
          <w:p w14:paraId="5E91BA41" w14:textId="1E50A362" w:rsidR="00B7091E" w:rsidRDefault="00B7091E" w:rsidP="00B7091E">
            <w:r>
              <w:t>Available</w:t>
            </w:r>
          </w:p>
        </w:tc>
        <w:tc>
          <w:tcPr>
            <w:tcW w:w="1064" w:type="dxa"/>
            <w:vAlign w:val="center"/>
          </w:tcPr>
          <w:p w14:paraId="17A33418" w14:textId="1698B74D" w:rsidR="00B7091E" w:rsidRDefault="00B7091E" w:rsidP="00B7091E">
            <w:r>
              <w:t>$0</w:t>
            </w:r>
          </w:p>
        </w:tc>
        <w:tc>
          <w:tcPr>
            <w:tcW w:w="1482" w:type="dxa"/>
            <w:vAlign w:val="center"/>
          </w:tcPr>
          <w:p w14:paraId="7BBCD07F" w14:textId="77777777" w:rsidR="00B7091E" w:rsidRDefault="00B7091E" w:rsidP="00B7091E">
            <w:r>
              <w:t>Initial: $0</w:t>
            </w:r>
          </w:p>
          <w:p w14:paraId="15979BF0" w14:textId="77777777" w:rsidR="00B7091E" w:rsidRDefault="00B7091E" w:rsidP="00B7091E"/>
          <w:p w14:paraId="74460D24" w14:textId="77777777" w:rsidR="00B7091E" w:rsidRDefault="00B7091E" w:rsidP="00B7091E">
            <w:r>
              <w:t>Reconfigure:</w:t>
            </w:r>
          </w:p>
          <w:p w14:paraId="6B124672" w14:textId="3E731ECE" w:rsidR="00B7091E" w:rsidRDefault="00B7091E" w:rsidP="00B7091E">
            <w:r>
              <w:t>$0</w:t>
            </w:r>
          </w:p>
        </w:tc>
      </w:tr>
      <w:tr w:rsidR="00B7091E" w14:paraId="41C608EE" w14:textId="77777777" w:rsidTr="00AE5014">
        <w:tc>
          <w:tcPr>
            <w:tcW w:w="988" w:type="dxa"/>
            <w:vMerge/>
            <w:tcBorders>
              <w:top w:val="nil"/>
              <w:bottom w:val="nil"/>
            </w:tcBorders>
            <w:vAlign w:val="center"/>
          </w:tcPr>
          <w:p w14:paraId="039095C7" w14:textId="77777777" w:rsidR="00B7091E" w:rsidRDefault="00B7091E" w:rsidP="00B7091E">
            <w:pPr>
              <w:jc w:val="center"/>
            </w:pPr>
          </w:p>
        </w:tc>
        <w:tc>
          <w:tcPr>
            <w:tcW w:w="1457" w:type="dxa"/>
            <w:tcBorders>
              <w:top w:val="nil"/>
              <w:bottom w:val="single" w:sz="4" w:space="0" w:color="auto"/>
            </w:tcBorders>
            <w:vAlign w:val="center"/>
          </w:tcPr>
          <w:p w14:paraId="5CCE94B6" w14:textId="77777777" w:rsidR="00B7091E" w:rsidRDefault="00B7091E" w:rsidP="00B7091E"/>
        </w:tc>
        <w:tc>
          <w:tcPr>
            <w:tcW w:w="2094" w:type="dxa"/>
            <w:vAlign w:val="center"/>
          </w:tcPr>
          <w:p w14:paraId="7C2BE467" w14:textId="78D45778" w:rsidR="00B7091E" w:rsidRDefault="00B7091E" w:rsidP="00B7091E">
            <w:pPr>
              <w:rPr>
                <w:i/>
              </w:rPr>
            </w:pPr>
            <w:r>
              <w:rPr>
                <w:i/>
              </w:rPr>
              <w:t xml:space="preserve">Automate Delivery of Data on Notifiable </w:t>
            </w:r>
            <w:r w:rsidR="0017060B">
              <w:rPr>
                <w:i/>
              </w:rPr>
              <w:t>Diseases/Conditions</w:t>
            </w:r>
          </w:p>
        </w:tc>
        <w:tc>
          <w:tcPr>
            <w:tcW w:w="2265" w:type="dxa"/>
            <w:vAlign w:val="center"/>
          </w:tcPr>
          <w:p w14:paraId="3AE63EE7" w14:textId="06C886E2" w:rsidR="00B7091E" w:rsidRDefault="00B7091E" w:rsidP="00B7091E">
            <w:r>
              <w:t>Available</w:t>
            </w:r>
          </w:p>
        </w:tc>
        <w:tc>
          <w:tcPr>
            <w:tcW w:w="1064" w:type="dxa"/>
            <w:vAlign w:val="center"/>
          </w:tcPr>
          <w:p w14:paraId="2E07E495" w14:textId="55EB3862" w:rsidR="00B7091E" w:rsidRDefault="00B7091E" w:rsidP="00B7091E">
            <w:r>
              <w:t>$0</w:t>
            </w:r>
          </w:p>
        </w:tc>
        <w:tc>
          <w:tcPr>
            <w:tcW w:w="1482" w:type="dxa"/>
            <w:vAlign w:val="center"/>
          </w:tcPr>
          <w:p w14:paraId="3BDEEEDA" w14:textId="77777777" w:rsidR="00B7091E" w:rsidRDefault="00B7091E" w:rsidP="00B7091E">
            <w:r>
              <w:t>Initial: $0</w:t>
            </w:r>
          </w:p>
          <w:p w14:paraId="727E0692" w14:textId="77777777" w:rsidR="00B7091E" w:rsidRDefault="00B7091E" w:rsidP="00B7091E"/>
          <w:p w14:paraId="67CF0606" w14:textId="77777777" w:rsidR="00B7091E" w:rsidRDefault="00B7091E" w:rsidP="00B7091E">
            <w:r>
              <w:t>Reconfigure:</w:t>
            </w:r>
          </w:p>
          <w:p w14:paraId="7FD8F899" w14:textId="0C26FF1B" w:rsidR="00B7091E" w:rsidRDefault="00B7091E" w:rsidP="00B7091E">
            <w:r>
              <w:t>$0</w:t>
            </w:r>
          </w:p>
        </w:tc>
      </w:tr>
      <w:tr w:rsidR="00B7091E" w14:paraId="77A51E5F" w14:textId="77777777" w:rsidTr="00AE5014">
        <w:tc>
          <w:tcPr>
            <w:tcW w:w="98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DA2E070" w14:textId="2098CE59" w:rsidR="00B7091E" w:rsidRDefault="00B7091E" w:rsidP="00B7091E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A809E" w14:textId="75D59430" w:rsidR="00B7091E" w:rsidRDefault="00B7091E" w:rsidP="00B7091E">
            <w:r>
              <w:t>Results Delivery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vAlign w:val="center"/>
          </w:tcPr>
          <w:p w14:paraId="3AFEE700" w14:textId="33FE53AB" w:rsidR="00B7091E" w:rsidRDefault="00B7091E" w:rsidP="00B7091E">
            <w:r>
              <w:t>The ability to deliver results and reports back to ordering providers and others designated to receive results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570CF1D7" w14:textId="0130FD6A" w:rsidR="00B7091E" w:rsidRDefault="00B7091E" w:rsidP="00B7091E">
            <w:r>
              <w:t>Available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14:paraId="4D47D2C7" w14:textId="77777777" w:rsidR="00B7091E" w:rsidRDefault="00B7091E" w:rsidP="00B7091E">
            <w:r>
              <w:t>$0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5B3C5953" w14:textId="77777777" w:rsidR="00B7091E" w:rsidRDefault="00B7091E" w:rsidP="00B7091E">
            <w:r>
              <w:t>Initial: $0</w:t>
            </w:r>
          </w:p>
          <w:p w14:paraId="353BA210" w14:textId="77777777" w:rsidR="00B7091E" w:rsidRDefault="00B7091E" w:rsidP="00B7091E"/>
          <w:p w14:paraId="4BC522A4" w14:textId="77777777" w:rsidR="00B7091E" w:rsidRDefault="00B7091E" w:rsidP="00B7091E">
            <w:r>
              <w:t>Reconfigure:</w:t>
            </w:r>
          </w:p>
          <w:p w14:paraId="04D2AF7B" w14:textId="766271EB" w:rsidR="00B7091E" w:rsidRDefault="00B7091E" w:rsidP="00B7091E">
            <w:r>
              <w:t>$0</w:t>
            </w:r>
          </w:p>
        </w:tc>
      </w:tr>
    </w:tbl>
    <w:p w14:paraId="77A76E54" w14:textId="77777777" w:rsidR="00D30631" w:rsidRDefault="00D30631">
      <w:r>
        <w:br w:type="page"/>
      </w:r>
    </w:p>
    <w:p w14:paraId="063385D4" w14:textId="3ABAAD01" w:rsidR="00227D59" w:rsidRDefault="00227D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2"/>
        <w:gridCol w:w="1474"/>
        <w:gridCol w:w="2325"/>
        <w:gridCol w:w="1659"/>
        <w:gridCol w:w="1165"/>
        <w:gridCol w:w="1535"/>
      </w:tblGrid>
      <w:tr w:rsidR="00D30631" w14:paraId="6A0A7776" w14:textId="77777777" w:rsidTr="005A24A9">
        <w:trPr>
          <w:tblHeader/>
        </w:trPr>
        <w:tc>
          <w:tcPr>
            <w:tcW w:w="1197" w:type="dxa"/>
            <w:shd w:val="clear" w:color="auto" w:fill="000000" w:themeFill="text1"/>
          </w:tcPr>
          <w:p w14:paraId="0991806A" w14:textId="77777777" w:rsidR="00D30631" w:rsidRDefault="00D30631" w:rsidP="005A24A9"/>
        </w:tc>
        <w:tc>
          <w:tcPr>
            <w:tcW w:w="1474" w:type="dxa"/>
            <w:shd w:val="clear" w:color="auto" w:fill="000000" w:themeFill="text1"/>
          </w:tcPr>
          <w:p w14:paraId="2DF815E9" w14:textId="77777777" w:rsidR="00D30631" w:rsidRDefault="00D30631" w:rsidP="005A24A9">
            <w:r>
              <w:t>Service</w:t>
            </w:r>
          </w:p>
        </w:tc>
        <w:tc>
          <w:tcPr>
            <w:tcW w:w="2330" w:type="dxa"/>
            <w:shd w:val="clear" w:color="auto" w:fill="000000" w:themeFill="text1"/>
          </w:tcPr>
          <w:p w14:paraId="216D565A" w14:textId="77777777" w:rsidR="00D30631" w:rsidRDefault="00D30631" w:rsidP="005A24A9">
            <w:r>
              <w:t>Description</w:t>
            </w:r>
          </w:p>
        </w:tc>
        <w:tc>
          <w:tcPr>
            <w:tcW w:w="1662" w:type="dxa"/>
            <w:shd w:val="clear" w:color="auto" w:fill="000000" w:themeFill="text1"/>
          </w:tcPr>
          <w:p w14:paraId="7A9671D7" w14:textId="77777777" w:rsidR="00D30631" w:rsidRDefault="00D30631" w:rsidP="005A24A9">
            <w:r>
              <w:t>Service Availability</w:t>
            </w:r>
          </w:p>
          <w:p w14:paraId="789A3951" w14:textId="77777777" w:rsidR="00D30631" w:rsidRDefault="00D30631" w:rsidP="005A24A9"/>
        </w:tc>
        <w:tc>
          <w:tcPr>
            <w:tcW w:w="1151" w:type="dxa"/>
            <w:shd w:val="clear" w:color="auto" w:fill="000000" w:themeFill="text1"/>
          </w:tcPr>
          <w:p w14:paraId="4F95CE23" w14:textId="77777777" w:rsidR="00D30631" w:rsidRDefault="00D30631" w:rsidP="005A24A9">
            <w:r>
              <w:t>Service Cost</w:t>
            </w:r>
          </w:p>
        </w:tc>
        <w:tc>
          <w:tcPr>
            <w:tcW w:w="1536" w:type="dxa"/>
            <w:shd w:val="clear" w:color="auto" w:fill="000000" w:themeFill="text1"/>
          </w:tcPr>
          <w:p w14:paraId="4111FC57" w14:textId="77777777" w:rsidR="00D30631" w:rsidRDefault="00D30631" w:rsidP="005A24A9">
            <w:r>
              <w:t xml:space="preserve">Cost to </w:t>
            </w:r>
            <w:proofErr w:type="gramStart"/>
            <w:r>
              <w:t>Configure  /</w:t>
            </w:r>
            <w:proofErr w:type="gramEnd"/>
            <w:r>
              <w:t xml:space="preserve"> Reconfigure</w:t>
            </w:r>
          </w:p>
        </w:tc>
      </w:tr>
      <w:tr w:rsidR="002B24AC" w14:paraId="1FBCDD89" w14:textId="77777777" w:rsidTr="005A24A9">
        <w:trPr>
          <w:cantSplit/>
          <w:trHeight w:val="1134"/>
        </w:trPr>
        <w:tc>
          <w:tcPr>
            <w:tcW w:w="1197" w:type="dxa"/>
            <w:vMerge w:val="restart"/>
            <w:textDirection w:val="btLr"/>
            <w:vAlign w:val="center"/>
          </w:tcPr>
          <w:p w14:paraId="2E95CC40" w14:textId="0E33918D" w:rsidR="002B24AC" w:rsidRDefault="002B24AC" w:rsidP="002B24AC">
            <w:pPr>
              <w:ind w:left="113" w:right="113"/>
              <w:jc w:val="center"/>
            </w:pPr>
            <w:r>
              <w:t>Value Added Services</w:t>
            </w:r>
          </w:p>
        </w:tc>
        <w:tc>
          <w:tcPr>
            <w:tcW w:w="1474" w:type="dxa"/>
            <w:vAlign w:val="center"/>
          </w:tcPr>
          <w:p w14:paraId="43C979AF" w14:textId="432BA7F3" w:rsidR="002B24AC" w:rsidRDefault="002B24AC" w:rsidP="002B24AC">
            <w:r>
              <w:t>Advanced Analytics</w:t>
            </w:r>
          </w:p>
        </w:tc>
        <w:tc>
          <w:tcPr>
            <w:tcW w:w="2330" w:type="dxa"/>
            <w:vAlign w:val="center"/>
          </w:tcPr>
          <w:p w14:paraId="234DFE86" w14:textId="53D10153" w:rsidR="002B24AC" w:rsidRDefault="002B24AC" w:rsidP="002B24AC">
            <w:r>
              <w:t>Customized population health management reporting and intervention services</w:t>
            </w:r>
          </w:p>
        </w:tc>
        <w:tc>
          <w:tcPr>
            <w:tcW w:w="1662" w:type="dxa"/>
            <w:vAlign w:val="center"/>
          </w:tcPr>
          <w:p w14:paraId="022A2D41" w14:textId="3924BA43" w:rsidR="002B24AC" w:rsidRDefault="002B24AC" w:rsidP="002B24AC">
            <w:r>
              <w:t>Available</w:t>
            </w:r>
          </w:p>
        </w:tc>
        <w:tc>
          <w:tcPr>
            <w:tcW w:w="1151" w:type="dxa"/>
            <w:vAlign w:val="center"/>
          </w:tcPr>
          <w:p w14:paraId="7E5D076E" w14:textId="77777777" w:rsidR="002B24AC" w:rsidRDefault="006B6CDF" w:rsidP="002B24AC">
            <w:r>
              <w:t xml:space="preserve">Basic </w:t>
            </w:r>
            <w:r w:rsidR="002B24AC">
              <w:t>$0</w:t>
            </w:r>
          </w:p>
          <w:p w14:paraId="2716D089" w14:textId="51F2F7E1" w:rsidR="006B6CDF" w:rsidRDefault="006B6CDF" w:rsidP="002B24AC">
            <w:r>
              <w:t>Advanced-Scope Based Pricing</w:t>
            </w:r>
          </w:p>
        </w:tc>
        <w:tc>
          <w:tcPr>
            <w:tcW w:w="1536" w:type="dxa"/>
            <w:vAlign w:val="center"/>
          </w:tcPr>
          <w:p w14:paraId="175C4BCB" w14:textId="77777777" w:rsidR="002B24AC" w:rsidRDefault="002B24AC" w:rsidP="002B24AC">
            <w:r>
              <w:t>Initial: $0</w:t>
            </w:r>
          </w:p>
          <w:p w14:paraId="4AD46EC8" w14:textId="77777777" w:rsidR="002B24AC" w:rsidRDefault="002B24AC" w:rsidP="002B24AC"/>
          <w:p w14:paraId="52AAC5CC" w14:textId="77777777" w:rsidR="002B24AC" w:rsidRDefault="002B24AC" w:rsidP="002B24AC">
            <w:r>
              <w:t>Reconfigure:</w:t>
            </w:r>
          </w:p>
          <w:p w14:paraId="314ADAE9" w14:textId="7C730676" w:rsidR="002B24AC" w:rsidRDefault="002B24AC" w:rsidP="002B24AC">
            <w:r>
              <w:t>$0</w:t>
            </w:r>
          </w:p>
        </w:tc>
      </w:tr>
      <w:tr w:rsidR="002B24AC" w14:paraId="3B1CBA2F" w14:textId="77777777" w:rsidTr="005A24A9">
        <w:tc>
          <w:tcPr>
            <w:tcW w:w="1197" w:type="dxa"/>
            <w:vMerge/>
            <w:vAlign w:val="center"/>
          </w:tcPr>
          <w:p w14:paraId="2B8B8FC9" w14:textId="77777777" w:rsidR="002B24AC" w:rsidRDefault="002B24AC" w:rsidP="002B24AC">
            <w:pPr>
              <w:ind w:left="113" w:right="113"/>
              <w:jc w:val="center"/>
            </w:pPr>
          </w:p>
        </w:tc>
        <w:tc>
          <w:tcPr>
            <w:tcW w:w="1474" w:type="dxa"/>
            <w:vAlign w:val="center"/>
          </w:tcPr>
          <w:p w14:paraId="2417E2A5" w14:textId="1D31ADF8" w:rsidR="002B24AC" w:rsidRDefault="002B24AC" w:rsidP="002B24AC">
            <w:r>
              <w:t>Data Quality Management</w:t>
            </w:r>
          </w:p>
        </w:tc>
        <w:tc>
          <w:tcPr>
            <w:tcW w:w="2330" w:type="dxa"/>
            <w:vAlign w:val="center"/>
          </w:tcPr>
          <w:p w14:paraId="435E9880" w14:textId="15EBD7D7" w:rsidR="002B24AC" w:rsidRDefault="002B24AC" w:rsidP="002B24AC">
            <w:r>
              <w:t>Monitoring, reporting, and reconciliation of data quality issues</w:t>
            </w:r>
          </w:p>
        </w:tc>
        <w:tc>
          <w:tcPr>
            <w:tcW w:w="1662" w:type="dxa"/>
            <w:vAlign w:val="center"/>
          </w:tcPr>
          <w:p w14:paraId="1F0D480F" w14:textId="6740BEB1" w:rsidR="002B24AC" w:rsidRDefault="002B24AC" w:rsidP="002B24AC">
            <w:r>
              <w:t>Available</w:t>
            </w:r>
          </w:p>
        </w:tc>
        <w:tc>
          <w:tcPr>
            <w:tcW w:w="1151" w:type="dxa"/>
            <w:vAlign w:val="center"/>
          </w:tcPr>
          <w:p w14:paraId="5B922DF5" w14:textId="39E06FE2" w:rsidR="002B24AC" w:rsidRDefault="002B24AC" w:rsidP="002B24AC">
            <w:r>
              <w:t>$0</w:t>
            </w:r>
          </w:p>
        </w:tc>
        <w:tc>
          <w:tcPr>
            <w:tcW w:w="1536" w:type="dxa"/>
            <w:vAlign w:val="center"/>
          </w:tcPr>
          <w:p w14:paraId="7230F3EF" w14:textId="77777777" w:rsidR="002B24AC" w:rsidRDefault="002B24AC" w:rsidP="002B24AC">
            <w:r>
              <w:t>Initial: $0</w:t>
            </w:r>
          </w:p>
          <w:p w14:paraId="5B0B18ED" w14:textId="77777777" w:rsidR="002B24AC" w:rsidRDefault="002B24AC" w:rsidP="002B24AC"/>
          <w:p w14:paraId="53C814BD" w14:textId="77777777" w:rsidR="002B24AC" w:rsidRDefault="002B24AC" w:rsidP="002B24AC">
            <w:r>
              <w:t>Reconfigure:</w:t>
            </w:r>
          </w:p>
          <w:p w14:paraId="11F9E6ED" w14:textId="3DD06BEE" w:rsidR="002B24AC" w:rsidRDefault="002B24AC" w:rsidP="002B24AC">
            <w:r>
              <w:t>$0</w:t>
            </w:r>
          </w:p>
        </w:tc>
      </w:tr>
      <w:tr w:rsidR="00E2649C" w14:paraId="28CDD156" w14:textId="77777777" w:rsidTr="005A24A9">
        <w:trPr>
          <w:cantSplit/>
          <w:trHeight w:val="1134"/>
        </w:trPr>
        <w:tc>
          <w:tcPr>
            <w:tcW w:w="1197" w:type="dxa"/>
            <w:vMerge/>
            <w:textDirection w:val="btLr"/>
            <w:vAlign w:val="center"/>
          </w:tcPr>
          <w:p w14:paraId="1417883E" w14:textId="77777777" w:rsidR="00E2649C" w:rsidRDefault="00E2649C" w:rsidP="00E2649C">
            <w:pPr>
              <w:ind w:left="113" w:right="113"/>
              <w:jc w:val="center"/>
            </w:pPr>
          </w:p>
        </w:tc>
        <w:tc>
          <w:tcPr>
            <w:tcW w:w="1474" w:type="dxa"/>
            <w:vAlign w:val="center"/>
          </w:tcPr>
          <w:p w14:paraId="65D26C24" w14:textId="631D0992" w:rsidR="00E2649C" w:rsidRDefault="00E2649C" w:rsidP="00E2649C">
            <w:proofErr w:type="spellStart"/>
            <w:r>
              <w:t>eReferral</w:t>
            </w:r>
            <w:proofErr w:type="spellEnd"/>
            <w:r>
              <w:t xml:space="preserve"> Management</w:t>
            </w:r>
          </w:p>
        </w:tc>
        <w:tc>
          <w:tcPr>
            <w:tcW w:w="2330" w:type="dxa"/>
            <w:vAlign w:val="center"/>
          </w:tcPr>
          <w:p w14:paraId="548B9511" w14:textId="6C0516F4" w:rsidR="00E2649C" w:rsidRDefault="00E2649C" w:rsidP="00E2649C">
            <w:r>
              <w:t xml:space="preserve">Routing of electronic referrals between participants </w:t>
            </w:r>
          </w:p>
        </w:tc>
        <w:tc>
          <w:tcPr>
            <w:tcW w:w="1662" w:type="dxa"/>
            <w:vAlign w:val="center"/>
          </w:tcPr>
          <w:p w14:paraId="09E28DE9" w14:textId="1A4E8495" w:rsidR="00E2649C" w:rsidRDefault="00E2649C" w:rsidP="00E2649C">
            <w:r>
              <w:t>Available</w:t>
            </w:r>
          </w:p>
        </w:tc>
        <w:tc>
          <w:tcPr>
            <w:tcW w:w="1151" w:type="dxa"/>
            <w:vAlign w:val="center"/>
          </w:tcPr>
          <w:p w14:paraId="536AEA3A" w14:textId="5140F802" w:rsidR="00E2649C" w:rsidRDefault="00E2649C" w:rsidP="00E2649C">
            <w:r>
              <w:t>$0</w:t>
            </w:r>
          </w:p>
        </w:tc>
        <w:tc>
          <w:tcPr>
            <w:tcW w:w="1536" w:type="dxa"/>
            <w:vAlign w:val="center"/>
          </w:tcPr>
          <w:p w14:paraId="44774130" w14:textId="77777777" w:rsidR="00E2649C" w:rsidRDefault="00E2649C" w:rsidP="00E2649C">
            <w:r>
              <w:t>Initial: $0</w:t>
            </w:r>
          </w:p>
          <w:p w14:paraId="2E0CADD3" w14:textId="77777777" w:rsidR="00E2649C" w:rsidRDefault="00E2649C" w:rsidP="00E2649C"/>
          <w:p w14:paraId="377533E5" w14:textId="77777777" w:rsidR="00E2649C" w:rsidRDefault="00E2649C" w:rsidP="00E2649C">
            <w:r>
              <w:t>Reconfigure:</w:t>
            </w:r>
          </w:p>
          <w:p w14:paraId="47A890F5" w14:textId="2654B388" w:rsidR="00E2649C" w:rsidRDefault="00E2649C" w:rsidP="00E2649C">
            <w:r>
              <w:t>$0</w:t>
            </w:r>
          </w:p>
        </w:tc>
      </w:tr>
      <w:tr w:rsidR="00E2649C" w14:paraId="5FB923F3" w14:textId="77777777" w:rsidTr="005A24A9">
        <w:trPr>
          <w:cantSplit/>
          <w:trHeight w:val="1134"/>
        </w:trPr>
        <w:tc>
          <w:tcPr>
            <w:tcW w:w="1197" w:type="dxa"/>
            <w:vMerge/>
            <w:textDirection w:val="btLr"/>
            <w:vAlign w:val="center"/>
          </w:tcPr>
          <w:p w14:paraId="39BD92BF" w14:textId="77777777" w:rsidR="00E2649C" w:rsidRDefault="00E2649C" w:rsidP="00E2649C">
            <w:pPr>
              <w:ind w:left="113" w:right="113"/>
              <w:jc w:val="center"/>
            </w:pPr>
          </w:p>
        </w:tc>
        <w:tc>
          <w:tcPr>
            <w:tcW w:w="1474" w:type="dxa"/>
            <w:vAlign w:val="center"/>
          </w:tcPr>
          <w:p w14:paraId="38B3858D" w14:textId="3CE4DCD7" w:rsidR="00E2649C" w:rsidRDefault="00E2649C" w:rsidP="00E2649C">
            <w:r>
              <w:t xml:space="preserve">Single Sign </w:t>
            </w:r>
            <w:proofErr w:type="gramStart"/>
            <w:r>
              <w:t>On</w:t>
            </w:r>
            <w:proofErr w:type="gramEnd"/>
            <w:r>
              <w:t xml:space="preserve"> Services</w:t>
            </w:r>
          </w:p>
        </w:tc>
        <w:tc>
          <w:tcPr>
            <w:tcW w:w="2330" w:type="dxa"/>
            <w:vAlign w:val="center"/>
          </w:tcPr>
          <w:p w14:paraId="5A1735BB" w14:textId="32F8F541" w:rsidR="00E2649C" w:rsidRDefault="00E2649C" w:rsidP="00E2649C">
            <w:r>
              <w:t xml:space="preserve">Single Sign </w:t>
            </w:r>
            <w:proofErr w:type="gramStart"/>
            <w:r>
              <w:t>On</w:t>
            </w:r>
            <w:proofErr w:type="gramEnd"/>
            <w:r>
              <w:t xml:space="preserve"> to RHIO Integrated with EMR</w:t>
            </w:r>
          </w:p>
        </w:tc>
        <w:tc>
          <w:tcPr>
            <w:tcW w:w="1662" w:type="dxa"/>
            <w:vAlign w:val="center"/>
          </w:tcPr>
          <w:p w14:paraId="47753A06" w14:textId="13E58D97" w:rsidR="00E2649C" w:rsidRDefault="00E2649C" w:rsidP="00E2649C">
            <w:r>
              <w:t>Available</w:t>
            </w:r>
          </w:p>
        </w:tc>
        <w:tc>
          <w:tcPr>
            <w:tcW w:w="1151" w:type="dxa"/>
            <w:vAlign w:val="center"/>
          </w:tcPr>
          <w:p w14:paraId="773FD204" w14:textId="68759E90" w:rsidR="00E2649C" w:rsidRDefault="00E2649C" w:rsidP="00E2649C">
            <w:r>
              <w:t>$0</w:t>
            </w:r>
          </w:p>
        </w:tc>
        <w:tc>
          <w:tcPr>
            <w:tcW w:w="1536" w:type="dxa"/>
            <w:vAlign w:val="center"/>
          </w:tcPr>
          <w:p w14:paraId="0350E9CF" w14:textId="77777777" w:rsidR="00E2649C" w:rsidRDefault="00E2649C" w:rsidP="00E2649C">
            <w:r>
              <w:t>Initial: $0</w:t>
            </w:r>
          </w:p>
          <w:p w14:paraId="52266877" w14:textId="77777777" w:rsidR="00E2649C" w:rsidRDefault="00E2649C" w:rsidP="00E2649C"/>
          <w:p w14:paraId="268274E7" w14:textId="77777777" w:rsidR="00E2649C" w:rsidRDefault="00E2649C" w:rsidP="00E2649C">
            <w:r>
              <w:t>Reconfigure:</w:t>
            </w:r>
          </w:p>
          <w:p w14:paraId="6668DB7C" w14:textId="75CB79F6" w:rsidR="00E2649C" w:rsidRDefault="00E2649C" w:rsidP="00E2649C">
            <w:r>
              <w:t>$0</w:t>
            </w:r>
          </w:p>
        </w:tc>
      </w:tr>
      <w:tr w:rsidR="00E2649C" w14:paraId="57761327" w14:textId="77777777" w:rsidTr="005A24A9">
        <w:trPr>
          <w:cantSplit/>
          <w:trHeight w:val="1134"/>
        </w:trPr>
        <w:tc>
          <w:tcPr>
            <w:tcW w:w="1197" w:type="dxa"/>
            <w:vMerge/>
            <w:textDirection w:val="btLr"/>
            <w:vAlign w:val="center"/>
          </w:tcPr>
          <w:p w14:paraId="581F7DBB" w14:textId="77777777" w:rsidR="00E2649C" w:rsidRDefault="00E2649C" w:rsidP="00E2649C">
            <w:pPr>
              <w:ind w:left="113" w:right="113"/>
              <w:jc w:val="center"/>
            </w:pPr>
          </w:p>
        </w:tc>
        <w:tc>
          <w:tcPr>
            <w:tcW w:w="1474" w:type="dxa"/>
            <w:vAlign w:val="center"/>
          </w:tcPr>
          <w:p w14:paraId="4B2754E9" w14:textId="5E4E6AD0" w:rsidR="00E2649C" w:rsidRDefault="00E2649C" w:rsidP="00E2649C">
            <w:r>
              <w:t>Data Availability Notification Services</w:t>
            </w:r>
          </w:p>
        </w:tc>
        <w:tc>
          <w:tcPr>
            <w:tcW w:w="2330" w:type="dxa"/>
            <w:vAlign w:val="center"/>
          </w:tcPr>
          <w:p w14:paraId="3EF150A7" w14:textId="42EF61D1" w:rsidR="00E2649C" w:rsidRDefault="00E2649C" w:rsidP="00E2649C">
            <w:r>
              <w:t xml:space="preserve">Notification in EMR if </w:t>
            </w:r>
            <w:r w:rsidR="00E72734">
              <w:t>Community Data Available in RHIO</w:t>
            </w:r>
          </w:p>
        </w:tc>
        <w:tc>
          <w:tcPr>
            <w:tcW w:w="1662" w:type="dxa"/>
            <w:vAlign w:val="center"/>
          </w:tcPr>
          <w:p w14:paraId="4AAFE09F" w14:textId="2CFAE9B7" w:rsidR="00E2649C" w:rsidRDefault="00E2649C" w:rsidP="00E2649C">
            <w:r>
              <w:t>Available</w:t>
            </w:r>
          </w:p>
        </w:tc>
        <w:tc>
          <w:tcPr>
            <w:tcW w:w="1151" w:type="dxa"/>
            <w:vAlign w:val="center"/>
          </w:tcPr>
          <w:p w14:paraId="58491850" w14:textId="30E4D465" w:rsidR="00E2649C" w:rsidRDefault="00E2649C" w:rsidP="00E2649C">
            <w:r>
              <w:t>$0</w:t>
            </w:r>
          </w:p>
        </w:tc>
        <w:tc>
          <w:tcPr>
            <w:tcW w:w="1536" w:type="dxa"/>
            <w:vAlign w:val="center"/>
          </w:tcPr>
          <w:p w14:paraId="55B4E209" w14:textId="77777777" w:rsidR="00E2649C" w:rsidRDefault="00E2649C" w:rsidP="00E2649C">
            <w:r>
              <w:t>Initial: $0</w:t>
            </w:r>
          </w:p>
          <w:p w14:paraId="175047B7" w14:textId="77777777" w:rsidR="00E2649C" w:rsidRDefault="00E2649C" w:rsidP="00E2649C"/>
          <w:p w14:paraId="7DDC0627" w14:textId="77777777" w:rsidR="00E2649C" w:rsidRDefault="00E2649C" w:rsidP="00E2649C">
            <w:r>
              <w:t>Reconfigure:</w:t>
            </w:r>
          </w:p>
          <w:p w14:paraId="0736AC21" w14:textId="7CE4FBBA" w:rsidR="00E2649C" w:rsidRDefault="00E2649C" w:rsidP="00E2649C">
            <w:r>
              <w:t>$0</w:t>
            </w:r>
          </w:p>
        </w:tc>
      </w:tr>
    </w:tbl>
    <w:p w14:paraId="5AA2FF5D" w14:textId="77777777" w:rsidR="00D30631" w:rsidRDefault="00D30631"/>
    <w:p w14:paraId="457A9B24" w14:textId="77777777" w:rsidR="00D30631" w:rsidRDefault="00D30631"/>
    <w:p w14:paraId="341A24D4" w14:textId="4C984E10" w:rsidR="0061243A" w:rsidRDefault="00890F24">
      <w:r>
        <w:t>Footn</w:t>
      </w:r>
      <w:r w:rsidR="0061243A">
        <w:t xml:space="preserve">otes: </w:t>
      </w:r>
    </w:p>
    <w:p w14:paraId="4ABC1E6D" w14:textId="5A393449" w:rsidR="0030740E" w:rsidRDefault="00231C04" w:rsidP="00713904">
      <w:pPr>
        <w:pStyle w:val="ListParagraph"/>
        <w:numPr>
          <w:ilvl w:val="0"/>
          <w:numId w:val="3"/>
        </w:numPr>
      </w:pPr>
      <w:r>
        <w:t xml:space="preserve">The Bronx RHIO charges participants a single, annual fee for value added services. The annual fee is calculated based on participant type (i.e. hospital, nursing home, physician practice, etc.) and is based on </w:t>
      </w:r>
      <w:r w:rsidR="00CF597B">
        <w:t xml:space="preserve">the </w:t>
      </w:r>
      <w:r>
        <w:t xml:space="preserve">prevailing Board-approved fee schedule. Current fees </w:t>
      </w:r>
      <w:r w:rsidR="00F87047">
        <w:t xml:space="preserve">for standard participant types </w:t>
      </w:r>
      <w:r>
        <w:t>range from $2</w:t>
      </w:r>
      <w:r w:rsidR="00F84A48">
        <w:t>6</w:t>
      </w:r>
      <w:r>
        <w:t>0-$130,000 per year.</w:t>
      </w:r>
    </w:p>
    <w:p w14:paraId="58C7FAA4" w14:textId="661DB30D" w:rsidR="00D161BC" w:rsidRDefault="00D161BC" w:rsidP="00231C04"/>
    <w:p w14:paraId="132BF122" w14:textId="77777777" w:rsidR="00D161BC" w:rsidRDefault="00D161BC">
      <w:r>
        <w:br w:type="page"/>
      </w:r>
    </w:p>
    <w:p w14:paraId="22A88DC4" w14:textId="1F667FE7" w:rsidR="00890F24" w:rsidRPr="005340B4" w:rsidRDefault="00D161BC" w:rsidP="005340B4">
      <w:pPr>
        <w:rPr>
          <w:b/>
        </w:rPr>
      </w:pPr>
      <w:r w:rsidRPr="005340B4">
        <w:rPr>
          <w:b/>
          <w:sz w:val="24"/>
        </w:rPr>
        <w:lastRenderedPageBreak/>
        <w:t>Notes to QE on the completion of the above disclosure</w:t>
      </w:r>
      <w:r w:rsidR="007165BD" w:rsidRPr="005340B4">
        <w:rPr>
          <w:b/>
          <w:sz w:val="24"/>
        </w:rPr>
        <w:t>:</w:t>
      </w:r>
    </w:p>
    <w:p w14:paraId="6753F594" w14:textId="19FE8F39" w:rsidR="00D161BC" w:rsidRDefault="007165BD" w:rsidP="005340B4">
      <w:pPr>
        <w:pStyle w:val="ListParagraph"/>
        <w:numPr>
          <w:ilvl w:val="0"/>
          <w:numId w:val="5"/>
        </w:numPr>
      </w:pPr>
      <w:r>
        <w:t xml:space="preserve">Not </w:t>
      </w:r>
      <w:proofErr w:type="gramStart"/>
      <w:r>
        <w:t>include</w:t>
      </w:r>
      <w:proofErr w:type="gramEnd"/>
      <w:r>
        <w:t xml:space="preserve"> this page </w:t>
      </w:r>
      <w:r w:rsidR="00D161BC">
        <w:t>with the disclosure</w:t>
      </w:r>
    </w:p>
    <w:p w14:paraId="5BC455C3" w14:textId="77777777" w:rsidR="007165BD" w:rsidRDefault="00D161BC" w:rsidP="005340B4">
      <w:pPr>
        <w:pStyle w:val="ListParagraph"/>
        <w:numPr>
          <w:ilvl w:val="0"/>
          <w:numId w:val="5"/>
        </w:numPr>
      </w:pPr>
      <w:r>
        <w:t xml:space="preserve">The date at the top of the document represents </w:t>
      </w:r>
      <w:r w:rsidR="007165BD">
        <w:t xml:space="preserve">the </w:t>
      </w:r>
      <w:r>
        <w:t>effective date of this disclosure</w:t>
      </w:r>
    </w:p>
    <w:p w14:paraId="31B576D8" w14:textId="1E58555A" w:rsidR="007165BD" w:rsidRDefault="007165BD" w:rsidP="005340B4">
      <w:pPr>
        <w:pStyle w:val="ListParagraph"/>
        <w:numPr>
          <w:ilvl w:val="0"/>
          <w:numId w:val="5"/>
        </w:numPr>
      </w:pPr>
      <w:proofErr w:type="gramStart"/>
      <w:r>
        <w:t>This documents</w:t>
      </w:r>
      <w:proofErr w:type="gramEnd"/>
      <w:r>
        <w:t xml:space="preserve"> must be updated at a minimum of once per year</w:t>
      </w:r>
    </w:p>
    <w:p w14:paraId="43608ED2" w14:textId="7FB42404" w:rsidR="007165BD" w:rsidRDefault="00D161BC" w:rsidP="005340B4">
      <w:pPr>
        <w:pStyle w:val="ListParagraph"/>
        <w:numPr>
          <w:ilvl w:val="0"/>
          <w:numId w:val="5"/>
        </w:numPr>
      </w:pPr>
      <w:r>
        <w:t>This document should be updated whenever there is a substantive change in its content</w:t>
      </w:r>
      <w:r w:rsidR="007165BD">
        <w:t>.  Substantive updates include:</w:t>
      </w:r>
    </w:p>
    <w:p w14:paraId="2079768B" w14:textId="46A7243F" w:rsidR="007165BD" w:rsidRDefault="007165BD" w:rsidP="005340B4">
      <w:pPr>
        <w:pStyle w:val="ListParagraph"/>
        <w:numPr>
          <w:ilvl w:val="1"/>
          <w:numId w:val="5"/>
        </w:numPr>
      </w:pPr>
      <w:r>
        <w:t>A change in availability of a dial tone including change in an expected release date</w:t>
      </w:r>
    </w:p>
    <w:p w14:paraId="1DD15329" w14:textId="4793B581" w:rsidR="007165BD" w:rsidRDefault="007165BD" w:rsidP="005340B4">
      <w:pPr>
        <w:pStyle w:val="ListParagraph"/>
        <w:numPr>
          <w:ilvl w:val="1"/>
          <w:numId w:val="5"/>
        </w:numPr>
      </w:pPr>
      <w:r>
        <w:t xml:space="preserve">A change in a fee of configuration rates of more than 20% at a </w:t>
      </w:r>
      <w:proofErr w:type="gramStart"/>
      <w:r>
        <w:t>line item</w:t>
      </w:r>
      <w:proofErr w:type="gramEnd"/>
      <w:r>
        <w:t xml:space="preserve"> level</w:t>
      </w:r>
    </w:p>
    <w:p w14:paraId="48C5BD86" w14:textId="6C02C48D" w:rsidR="007165BD" w:rsidRDefault="007165BD" w:rsidP="005340B4">
      <w:pPr>
        <w:pStyle w:val="ListParagraph"/>
        <w:numPr>
          <w:ilvl w:val="0"/>
          <w:numId w:val="5"/>
        </w:numPr>
      </w:pPr>
      <w:r>
        <w:t>If a service or configuration option has more options than can reasonably be entered on the form, an additional appendix with a description of the fees may be included and referenced within this document</w:t>
      </w:r>
    </w:p>
    <w:p w14:paraId="6C55928D" w14:textId="78B6CCE4" w:rsidR="007165BD" w:rsidRDefault="007165BD" w:rsidP="005340B4">
      <w:pPr>
        <w:pStyle w:val="ListParagraph"/>
        <w:numPr>
          <w:ilvl w:val="0"/>
          <w:numId w:val="5"/>
        </w:numPr>
      </w:pPr>
      <w:r>
        <w:t xml:space="preserve">While dial tone availability must be included here, disclosure of </w:t>
      </w:r>
      <w:proofErr w:type="gramStart"/>
      <w:r>
        <w:t>value add</w:t>
      </w:r>
      <w:proofErr w:type="gramEnd"/>
      <w:r>
        <w:t xml:space="preserve"> services may be held until final availability of the offering</w:t>
      </w:r>
    </w:p>
    <w:p w14:paraId="463ABB8A" w14:textId="77777777" w:rsidR="007165BD" w:rsidRDefault="007165BD" w:rsidP="005340B4">
      <w:pPr>
        <w:pStyle w:val="ListParagraph"/>
      </w:pPr>
    </w:p>
    <w:sectPr w:rsidR="00716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2CE"/>
    <w:multiLevelType w:val="hybridMultilevel"/>
    <w:tmpl w:val="86CE0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359D1"/>
    <w:multiLevelType w:val="hybridMultilevel"/>
    <w:tmpl w:val="355A32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E16C5"/>
    <w:multiLevelType w:val="hybridMultilevel"/>
    <w:tmpl w:val="46AA7C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A0742"/>
    <w:multiLevelType w:val="hybridMultilevel"/>
    <w:tmpl w:val="13F289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23123"/>
    <w:multiLevelType w:val="hybridMultilevel"/>
    <w:tmpl w:val="E82208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022664">
    <w:abstractNumId w:val="3"/>
  </w:num>
  <w:num w:numId="2" w16cid:durableId="500390074">
    <w:abstractNumId w:val="0"/>
  </w:num>
  <w:num w:numId="3" w16cid:durableId="94595929">
    <w:abstractNumId w:val="2"/>
  </w:num>
  <w:num w:numId="4" w16cid:durableId="11114386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3546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C43"/>
    <w:rsid w:val="00014D25"/>
    <w:rsid w:val="000751DF"/>
    <w:rsid w:val="00163605"/>
    <w:rsid w:val="0017060B"/>
    <w:rsid w:val="00195E3D"/>
    <w:rsid w:val="001C26E0"/>
    <w:rsid w:val="002141CA"/>
    <w:rsid w:val="00227D59"/>
    <w:rsid w:val="00231C04"/>
    <w:rsid w:val="0024491D"/>
    <w:rsid w:val="00245DC8"/>
    <w:rsid w:val="00272828"/>
    <w:rsid w:val="00276C43"/>
    <w:rsid w:val="002B24AC"/>
    <w:rsid w:val="002B42F8"/>
    <w:rsid w:val="002D3C52"/>
    <w:rsid w:val="002E7D04"/>
    <w:rsid w:val="002F25DC"/>
    <w:rsid w:val="0030740E"/>
    <w:rsid w:val="00344653"/>
    <w:rsid w:val="0035672C"/>
    <w:rsid w:val="00373E17"/>
    <w:rsid w:val="003760C6"/>
    <w:rsid w:val="003D75E7"/>
    <w:rsid w:val="004A7D80"/>
    <w:rsid w:val="004F56DD"/>
    <w:rsid w:val="005340B4"/>
    <w:rsid w:val="005B7BF4"/>
    <w:rsid w:val="00600636"/>
    <w:rsid w:val="0061243A"/>
    <w:rsid w:val="00654E52"/>
    <w:rsid w:val="00681F76"/>
    <w:rsid w:val="006B6CDF"/>
    <w:rsid w:val="00713904"/>
    <w:rsid w:val="007165BD"/>
    <w:rsid w:val="00794EDA"/>
    <w:rsid w:val="007A178B"/>
    <w:rsid w:val="007D6B9F"/>
    <w:rsid w:val="007E2934"/>
    <w:rsid w:val="00883310"/>
    <w:rsid w:val="00890F24"/>
    <w:rsid w:val="008D794D"/>
    <w:rsid w:val="0097518A"/>
    <w:rsid w:val="009B5669"/>
    <w:rsid w:val="009E1A03"/>
    <w:rsid w:val="00A40B16"/>
    <w:rsid w:val="00A47DD1"/>
    <w:rsid w:val="00A87B34"/>
    <w:rsid w:val="00AB129C"/>
    <w:rsid w:val="00AE5014"/>
    <w:rsid w:val="00B05BCE"/>
    <w:rsid w:val="00B52C3C"/>
    <w:rsid w:val="00B61D72"/>
    <w:rsid w:val="00B7091E"/>
    <w:rsid w:val="00B830E4"/>
    <w:rsid w:val="00B96FD3"/>
    <w:rsid w:val="00BC2FA9"/>
    <w:rsid w:val="00BF25D3"/>
    <w:rsid w:val="00C86AA3"/>
    <w:rsid w:val="00CA0C11"/>
    <w:rsid w:val="00CF597B"/>
    <w:rsid w:val="00D1183E"/>
    <w:rsid w:val="00D161BC"/>
    <w:rsid w:val="00D30631"/>
    <w:rsid w:val="00DD4739"/>
    <w:rsid w:val="00E14E51"/>
    <w:rsid w:val="00E2649C"/>
    <w:rsid w:val="00E71DCA"/>
    <w:rsid w:val="00E72734"/>
    <w:rsid w:val="00E751A5"/>
    <w:rsid w:val="00EC6770"/>
    <w:rsid w:val="00F11A07"/>
    <w:rsid w:val="00F84A48"/>
    <w:rsid w:val="00F87047"/>
    <w:rsid w:val="00FB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BC6E"/>
  <w15:docId w15:val="{9223F387-B446-4057-B0BF-D2CDD441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6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0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63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141C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11A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1A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1A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A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A0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90F2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54E5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61D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nyehealth.org/shin-ny/what-is-the-shin-ny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bronxrhio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31A03D3897A42957267505A7B58EC" ma:contentTypeVersion="1" ma:contentTypeDescription="Create a new document." ma:contentTypeScope="" ma:versionID="d17a0107854dbc67a372fd5c8233ddc2">
  <xsd:schema xmlns:xsd="http://www.w3.org/2001/XMLSchema" xmlns:xs="http://www.w3.org/2001/XMLSchema" xmlns:p="http://schemas.microsoft.com/office/2006/metadata/properties" xmlns:ns3="e4d612aa-1962-400e-a671-121b9791d32b" targetNamespace="http://schemas.microsoft.com/office/2006/metadata/properties" ma:root="true" ma:fieldsID="c644ed5f24ecb1921082ebdd648d23b8" ns3:_="">
    <xsd:import namespace="e4d612aa-1962-400e-a671-121b9791d32b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612aa-1962-400e-a671-121b9791d3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EB8D32-73B6-4FF7-99E9-FF1905EFFC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6DAB4-8F7C-47AC-84DD-94A53934F8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991211-B57D-4F48-97D1-E9E2CD1D51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B8E5EA-04E2-4BD3-ADF4-E4A78C1A2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d612aa-1962-400e-a671-121b9791d3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Solutions</Company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Wilder</dc:creator>
  <cp:lastModifiedBy>Charles Scaglione</cp:lastModifiedBy>
  <cp:revision>15</cp:revision>
  <cp:lastPrinted>2018-04-04T18:00:00Z</cp:lastPrinted>
  <dcterms:created xsi:type="dcterms:W3CDTF">2018-04-04T16:34:00Z</dcterms:created>
  <dcterms:modified xsi:type="dcterms:W3CDTF">2026-03-30T15:31:00Z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0x01010006131A03D3897A42957267505A7B58EC</vt:lpwstr>
  </property>
  <property fmtid="{D5CDD505-2E9C-101B-9397-08002B2CF9AE}" pid="3" name="IsMyDocuments">
    <vt:bool>true</vt:bool>
  </property>
</Properties>
</file>